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both"/>
        <w:rPr>
          <w:rFonts w:ascii="Trebuchet MS" w:cs="Trebuchet MS" w:eastAsia="Trebuchet MS" w:hAnsi="Trebuchet MS"/>
          <w:color w:val="2e74b5"/>
          <w:sz w:val="28"/>
          <w:szCs w:val="28"/>
        </w:rPr>
      </w:pPr>
      <w:bookmarkStart w:colFirst="0" w:colLast="0" w:name="_heading=h.90b4raop53mt" w:id="0"/>
      <w:bookmarkEnd w:id="0"/>
      <w:r w:rsidDel="00000000" w:rsidR="00000000" w:rsidRPr="00000000">
        <w:rPr>
          <w:rtl w:val="0"/>
        </w:rPr>
      </w:r>
    </w:p>
    <w:p w:rsidR="00000000" w:rsidDel="00000000" w:rsidP="00000000" w:rsidRDefault="00000000" w:rsidRPr="00000000" w14:paraId="00000002">
      <w:pPr>
        <w:pStyle w:val="Heading2"/>
        <w:spacing w:after="0" w:before="40" w:line="259" w:lineRule="auto"/>
        <w:jc w:val="both"/>
        <w:rPr>
          <w:rFonts w:ascii="Trebuchet MS" w:cs="Trebuchet MS" w:eastAsia="Trebuchet MS" w:hAnsi="Trebuchet MS"/>
          <w:color w:val="2e74b5"/>
          <w:sz w:val="28"/>
          <w:szCs w:val="28"/>
        </w:rPr>
      </w:pPr>
      <w:bookmarkStart w:colFirst="0" w:colLast="0" w:name="_heading=h.ssnp75lwf0gu" w:id="1"/>
      <w:bookmarkEnd w:id="1"/>
      <w:r w:rsidDel="00000000" w:rsidR="00000000" w:rsidRPr="00000000">
        <w:rPr>
          <w:rFonts w:ascii="Trebuchet MS" w:cs="Trebuchet MS" w:eastAsia="Trebuchet MS" w:hAnsi="Trebuchet MS"/>
          <w:color w:val="2e74b5"/>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color w:val="2e74b5"/>
          <w:sz w:val="28"/>
          <w:szCs w:val="28"/>
          <w:rtl w:val="0"/>
        </w:rPr>
        <w:t xml:space="preserve">Lisa. Läti regionaalse valitsemise kogemused</w:t>
      </w:r>
    </w:p>
    <w:p w:rsidR="00000000" w:rsidDel="00000000" w:rsidP="00000000" w:rsidRDefault="00000000" w:rsidRPr="00000000" w14:paraId="00000003">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240" w:lineRule="auto"/>
        <w:jc w:val="center"/>
        <w:rPr>
          <w:rFonts w:ascii="Times New Roman" w:cs="Times New Roman" w:eastAsia="Times New Roman" w:hAnsi="Times New Roman"/>
          <w:b w:val="1"/>
          <w:smallCaps w:val="1"/>
          <w:sz w:val="24"/>
          <w:szCs w:val="24"/>
          <w:highlight w:val="white"/>
        </w:rPr>
      </w:pPr>
      <w:r w:rsidDel="00000000" w:rsidR="00000000" w:rsidRPr="00000000">
        <w:rPr>
          <w:rFonts w:ascii="Times New Roman" w:cs="Times New Roman" w:eastAsia="Times New Roman" w:hAnsi="Times New Roman"/>
          <w:b w:val="1"/>
          <w:smallCaps w:val="1"/>
          <w:sz w:val="24"/>
          <w:szCs w:val="24"/>
          <w:highlight w:val="white"/>
          <w:rtl w:val="0"/>
        </w:rPr>
        <w:t xml:space="preserve">REGIONAALSEST JUHTIMISEST LÄTIS</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mallCaps w:val="1"/>
          <w:sz w:val="24"/>
          <w:szCs w:val="24"/>
          <w:highlight w:val="white"/>
        </w:rPr>
      </w:pPr>
      <w:r w:rsidDel="00000000" w:rsidR="00000000" w:rsidRPr="00000000">
        <w:rPr>
          <w:rFonts w:ascii="Times New Roman" w:cs="Times New Roman" w:eastAsia="Times New Roman" w:hAnsi="Times New Roman"/>
          <w:smallCaps w:val="1"/>
          <w:sz w:val="24"/>
          <w:szCs w:val="24"/>
          <w:highlight w:val="white"/>
          <w:rtl w:val="0"/>
        </w:rPr>
        <w:t xml:space="preserve">(I </w:t>
      </w:r>
      <w:r w:rsidDel="00000000" w:rsidR="00000000" w:rsidRPr="00000000">
        <w:rPr>
          <w:rFonts w:ascii="Times New Roman" w:cs="Times New Roman" w:eastAsia="Times New Roman" w:hAnsi="Times New Roman"/>
          <w:sz w:val="24"/>
          <w:szCs w:val="24"/>
          <w:rtl w:val="0"/>
        </w:rPr>
        <w:t xml:space="preserve">versioon)</w:t>
      </w:r>
      <w:r w:rsidDel="00000000" w:rsidR="00000000" w:rsidRPr="00000000">
        <w:rPr>
          <w:rtl w:val="0"/>
        </w:rPr>
      </w:r>
    </w:p>
    <w:p w:rsidR="00000000" w:rsidDel="00000000" w:rsidP="00000000" w:rsidRDefault="00000000" w:rsidRPr="00000000" w14:paraId="00000006">
      <w:pPr>
        <w:spacing w:line="240" w:lineRule="auto"/>
        <w:jc w:val="both"/>
        <w:rPr>
          <w:rFonts w:ascii="Times New Roman" w:cs="Times New Roman" w:eastAsia="Times New Roman" w:hAnsi="Times New Roman"/>
          <w:smallCaps w:val="1"/>
          <w:sz w:val="24"/>
          <w:szCs w:val="24"/>
          <w:highlight w:val="white"/>
        </w:rPr>
      </w:pP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Regionaalselt ühise arengu planeerimiseks moodustati Lätis kohalike omavalitsuste algatusel 1997. aastal piirkondlikud institutsioonid. Läti Valitsuse 5. mai 2009. aasta otsusega nr 391 „Planeeringu piirkondade otsused“ (</w:t>
      </w:r>
      <w:r w:rsidDel="00000000" w:rsidR="00000000" w:rsidRPr="00000000">
        <w:rPr>
          <w:rFonts w:ascii="Times New Roman" w:cs="Times New Roman" w:eastAsia="Times New Roman" w:hAnsi="Times New Roman"/>
          <w:i w:val="1"/>
          <w:sz w:val="24"/>
          <w:szCs w:val="24"/>
          <w:rtl w:val="0"/>
        </w:rPr>
        <w:t xml:space="preserve">"Decisions on Territories of the Planning Regions"</w:t>
      </w:r>
      <w:r w:rsidDel="00000000" w:rsidR="00000000" w:rsidRPr="00000000">
        <w:rPr>
          <w:rFonts w:ascii="Times New Roman" w:cs="Times New Roman" w:eastAsia="Times New Roman" w:hAnsi="Times New Roman"/>
          <w:sz w:val="24"/>
          <w:szCs w:val="24"/>
          <w:rtl w:val="0"/>
        </w:rPr>
        <w:t xml:space="preserve">) moodustati </w:t>
      </w:r>
      <w:r w:rsidDel="00000000" w:rsidR="00000000" w:rsidRPr="00000000">
        <w:rPr>
          <w:rFonts w:ascii="Times New Roman" w:cs="Times New Roman" w:eastAsia="Times New Roman" w:hAnsi="Times New Roman"/>
          <w:b w:val="1"/>
          <w:sz w:val="24"/>
          <w:szCs w:val="24"/>
          <w:rtl w:val="0"/>
        </w:rPr>
        <w:t xml:space="preserve">viis (5) planeerimispiirkonda</w:t>
      </w:r>
      <w:r w:rsidDel="00000000" w:rsidR="00000000" w:rsidRPr="00000000">
        <w:rPr>
          <w:rFonts w:ascii="Times New Roman" w:cs="Times New Roman" w:eastAsia="Times New Roman" w:hAnsi="Times New Roman"/>
          <w:sz w:val="24"/>
          <w:szCs w:val="24"/>
          <w:rtl w:val="0"/>
        </w:rPr>
        <w:t xml:space="preserve">, mis tagavad regionaalarengu planeerimise ja koordineerimise ning kohalike omavalitsuste ja teiste riigiasutuste vahelise koostöö.</w:t>
      </w:r>
    </w:p>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Planeerimispiirkonnad on avalik-õiguslikud isikud. Tema otsustuskogu on planeerimispiirkonna arengunõukogu. Planeerimispiirkonna territooriumi määrab Läti Valitsus kohalike omavalitsuste ettepanekute alusel.</w:t>
      </w:r>
    </w:p>
    <w:p w:rsidR="00000000" w:rsidDel="00000000" w:rsidP="00000000" w:rsidRDefault="00000000" w:rsidRPr="00000000" w14:paraId="0000000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Lätis on </w:t>
      </w:r>
      <w:r w:rsidDel="00000000" w:rsidR="00000000" w:rsidRPr="00000000">
        <w:rPr>
          <w:rFonts w:ascii="Times New Roman" w:cs="Times New Roman" w:eastAsia="Times New Roman" w:hAnsi="Times New Roman"/>
          <w:b w:val="1"/>
          <w:sz w:val="24"/>
          <w:szCs w:val="24"/>
          <w:rtl w:val="0"/>
        </w:rPr>
        <w:t xml:space="preserve">kuus (6) statistilist piirkonda</w:t>
      </w:r>
      <w:r w:rsidDel="00000000" w:rsidR="00000000" w:rsidRPr="00000000">
        <w:rPr>
          <w:rFonts w:ascii="Times New Roman" w:cs="Times New Roman" w:eastAsia="Times New Roman" w:hAnsi="Times New Roman"/>
          <w:sz w:val="24"/>
          <w:szCs w:val="24"/>
          <w:rtl w:val="0"/>
        </w:rPr>
        <w:t xml:space="preserve">: Riia, Pierīga, Kurzeme, Latgale, Zemgale ja Vidzeme. Riia planeerimispiirkonna moodustavad Riia ja Pierīga statistiline piirkond. Vastavate statistiliste piirkondadega langevad kokku Kuramaa, Latgale, Zemgale ja Vidzeme planeerimispiirkond.</w:t>
      </w:r>
    </w:p>
    <w:p w:rsidR="00000000" w:rsidDel="00000000" w:rsidP="00000000" w:rsidRDefault="00000000" w:rsidRPr="00000000" w14:paraId="0000000C">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Regionaaltasandit reguleerib Lätis </w:t>
      </w:r>
      <w:r w:rsidDel="00000000" w:rsidR="00000000" w:rsidRPr="00000000">
        <w:rPr>
          <w:rFonts w:ascii="Times New Roman" w:cs="Times New Roman" w:eastAsia="Times New Roman" w:hAnsi="Times New Roman"/>
          <w:b w:val="1"/>
          <w:sz w:val="24"/>
          <w:szCs w:val="24"/>
          <w:rtl w:val="0"/>
        </w:rPr>
        <w:t xml:space="preserve">Regionaalarengu seadus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Regional Development Law)</w:t>
      </w:r>
      <w:r w:rsidDel="00000000" w:rsidR="00000000" w:rsidRPr="00000000">
        <w:rPr>
          <w:rFonts w:ascii="Times New Roman" w:cs="Times New Roman" w:eastAsia="Times New Roman" w:hAnsi="Times New Roman"/>
          <w:sz w:val="24"/>
          <w:szCs w:val="24"/>
          <w:rtl w:val="0"/>
        </w:rPr>
        <w:t xml:space="preserve">. Seaduse eesmärk on edendada ja tagada riigi tasakaalustatud ja jätkusuutlik areng, võttes arvesse kogu riigi territooriumi ja selle eri osade eripära ja võimalusi, et vähendada nende ebasoodsaid erinevusi ning säilitada ja arendada iga osa loodus- ja kultuurikeskkonnale iseloomulikke tunnuseid ja nende arengupotentsiaali.</w:t>
      </w:r>
    </w:p>
    <w:p w:rsidR="00000000" w:rsidDel="00000000" w:rsidP="00000000" w:rsidRDefault="00000000" w:rsidRPr="00000000" w14:paraId="0000000E">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Regionaalarengu seaduses on mõiste „eriliselt toetatavad piirkonnad“, mida käsitletakse hiljem. Siinkohal märgime üksnes, et 1999. aastal oli Lätis vastu võetud eraldi seadusena Eriliselt toetatavate piirkondade seadus </w:t>
      </w:r>
      <w:r w:rsidDel="00000000" w:rsidR="00000000" w:rsidRPr="00000000">
        <w:rPr>
          <w:rFonts w:ascii="Times New Roman" w:cs="Times New Roman" w:eastAsia="Times New Roman" w:hAnsi="Times New Roman"/>
          <w:color w:val="777777"/>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Latvijas Republikas Saeimas un Ministru Kabineta Ziņotājs, </w:t>
      </w:r>
      <w:r w:rsidDel="00000000" w:rsidR="00000000" w:rsidRPr="00000000">
        <w:rPr>
          <w:rFonts w:ascii="Times New Roman" w:cs="Times New Roman" w:eastAsia="Times New Roman" w:hAnsi="Times New Roman"/>
          <w:sz w:val="24"/>
          <w:szCs w:val="24"/>
          <w:rtl w:val="0"/>
        </w:rPr>
        <w:t xml:space="preserve">1997, nr 13; 1999, nr 10).</w:t>
      </w:r>
      <w:r w:rsidDel="00000000" w:rsidR="00000000" w:rsidRPr="00000000">
        <w:rPr>
          <w:rFonts w:ascii="Arimo" w:cs="Arimo" w:eastAsia="Arimo" w:hAnsi="Arimo"/>
          <w:color w:val="777777"/>
          <w:sz w:val="24"/>
          <w:szCs w:val="24"/>
          <w:highlight w:val="yellow"/>
          <w:rtl w:val="0"/>
        </w:rPr>
        <w:br w:type="textWrapping"/>
      </w:r>
      <w:r w:rsidDel="00000000" w:rsidR="00000000" w:rsidRPr="00000000">
        <w:rPr>
          <w:rtl w:val="0"/>
        </w:rPr>
      </w:r>
    </w:p>
    <w:p w:rsidR="00000000" w:rsidDel="00000000" w:rsidP="00000000" w:rsidRDefault="00000000" w:rsidRPr="00000000" w14:paraId="0000001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Üks mõiste, mis Regionaalarengu seadusest võiks meile võrdlushuvi pakkuda on regionaalpoliitika. „Regionaalpoliitika tähendab valitsuse suuniseid ja tegevust regionaalarengu edendamisel, koordineerides valdkondlikku arengut kooskõlas riigi territooriumi eri osade arenguprioriteetidega ja andes otsest toetust riigi eri osade arendamisele. </w:t>
      </w:r>
    </w:p>
    <w:p w:rsidR="00000000" w:rsidDel="00000000" w:rsidP="00000000" w:rsidRDefault="00000000" w:rsidRPr="00000000" w14:paraId="00000011">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Regionaalarengu toetusmeetmed on programm ja asjakohaste projektide kogum, mida rakendatakse seaduse eesmärkide saavutamiseks.</w:t>
      </w:r>
    </w:p>
    <w:p w:rsidR="00000000" w:rsidDel="00000000" w:rsidP="00000000" w:rsidRDefault="00000000" w:rsidRPr="00000000" w14:paraId="0000001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Regionaalse arengu planeerimise, rahastamise, järelevalve ja hindamise protsessis järgitakse järgmisi </w:t>
      </w:r>
      <w:r w:rsidDel="00000000" w:rsidR="00000000" w:rsidRPr="00000000">
        <w:rPr>
          <w:rFonts w:ascii="Times New Roman" w:cs="Times New Roman" w:eastAsia="Times New Roman" w:hAnsi="Times New Roman"/>
          <w:b w:val="1"/>
          <w:sz w:val="24"/>
          <w:szCs w:val="24"/>
          <w:rtl w:val="0"/>
        </w:rPr>
        <w:t xml:space="preserve">põhiprintsiipe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koondumise põhimõte – regionaalarengu toetuseks eraldatud rahastamine keskendub konkreetsete prioriteetsete eesmärkide saavutamisele;</w:t>
      </w:r>
    </w:p>
    <w:p w:rsidR="00000000" w:rsidDel="00000000" w:rsidP="00000000" w:rsidRDefault="00000000" w:rsidRPr="00000000" w14:paraId="0000001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programmilisuse põhimõte - regionaalarengu toetusmeetmeid rakendatakse riiklikul tasandil välja töötatud ja regionaalarengu arengusuundi ning toetusmeetmeid määravate planeerimisdokumentide alusel planeerimispiirkondade ja piirkondade omavalitsuste tasandil;</w:t>
      </w:r>
    </w:p>
    <w:p w:rsidR="00000000" w:rsidDel="00000000" w:rsidP="00000000" w:rsidRDefault="00000000" w:rsidRPr="00000000" w14:paraId="0000001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partnerluse põhimõte – tagab koostöö riigiasutuste, rahvusvaheliste institutsioonide, planeerimispiirkonna arengunõukogu, kohalike omavalitsuste, valitsusväliste organisatsioonide ja ettevõtjate vahel;</w:t>
      </w:r>
    </w:p>
    <w:p w:rsidR="00000000" w:rsidDel="00000000" w:rsidP="00000000" w:rsidRDefault="00000000" w:rsidRPr="00000000" w14:paraId="0000001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täiendavuse põhimõte – riigi regionaalpoliitika prioriteete rahastatakse riigieelarvest, kohalike omavalitsuste eelarvetest, välisriikide finantsabi, juriidiliste või füüsiliste isikute rahalise osalusega, sh annetustega. Regionaalse arengu toetamise rahastamine on vastastikku täiendav ega asenda üksteist;</w:t>
      </w:r>
    </w:p>
    <w:p w:rsidR="00000000" w:rsidDel="00000000" w:rsidP="00000000" w:rsidRDefault="00000000" w:rsidRPr="00000000" w14:paraId="0000001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läbipaistvuse põhimõte – regionaalarengu planeerimise ja otsustuste tegemise protsess toetusmeetmete osas on avalik ja avalikkust teavitatakse regionaalarengu planeerimis- ja toetusmeetmete kättesaadavusest ning saavutatud tulemustest;</w:t>
      </w:r>
    </w:p>
    <w:p w:rsidR="00000000" w:rsidDel="00000000" w:rsidP="00000000" w:rsidRDefault="00000000" w:rsidRPr="00000000" w14:paraId="0000001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subsidiaarsuse põhimõte – avaliku võimu ülesandeid täidab võimalikult palju isikule kõige lähemal asuv asutus, kes võib tagada kohustuste tõhusa täitmise madalamal haldustasandil;</w:t>
      </w:r>
    </w:p>
    <w:p w:rsidR="00000000" w:rsidDel="00000000" w:rsidP="00000000" w:rsidRDefault="00000000" w:rsidRPr="00000000" w14:paraId="0000001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jätkusuutlikkuse põhimõte – tagab olemasolevatele ja järgnevatele põlvkondadele kvaliteetse keskkonna, tasakaalustatud majandusarengu, looduslike, inim- ja materiaalsete ressursside ratsionaalse kasutamise ning loodus- ja kultuuripärandi säilitamise.</w:t>
      </w:r>
    </w:p>
    <w:p w:rsidR="00000000" w:rsidDel="00000000" w:rsidP="00000000" w:rsidRDefault="00000000" w:rsidRPr="00000000" w14:paraId="0000001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Regionaalarengut rakendatakse kooskõlas järgmiste vastastikku kooskõlastatud riiklike ja regionaalarengu planeerimise dokumentidega (</w:t>
      </w:r>
      <w:r w:rsidDel="00000000" w:rsidR="00000000" w:rsidRPr="00000000">
        <w:rPr>
          <w:rFonts w:ascii="Times New Roman" w:cs="Times New Roman" w:eastAsia="Times New Roman" w:hAnsi="Times New Roman"/>
          <w:b w:val="1"/>
          <w:sz w:val="24"/>
          <w:szCs w:val="24"/>
          <w:rtl w:val="0"/>
        </w:rPr>
        <w:t xml:space="preserve">regionaalarengu planeerimise dokumendid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D">
      <w:pPr>
        <w:numPr>
          <w:ilvl w:val="0"/>
          <w:numId w:val="1"/>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riiklik arengukava;</w:t>
      </w:r>
      <w:r w:rsidDel="00000000" w:rsidR="00000000" w:rsidRPr="00000000">
        <w:rPr>
          <w:rtl w:val="0"/>
        </w:rPr>
      </w:r>
    </w:p>
    <w:p w:rsidR="00000000" w:rsidDel="00000000" w:rsidP="00000000" w:rsidRDefault="00000000" w:rsidRPr="00000000" w14:paraId="0000001E">
      <w:pPr>
        <w:numPr>
          <w:ilvl w:val="0"/>
          <w:numId w:val="1"/>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riiklik planeering;</w:t>
      </w:r>
      <w:r w:rsidDel="00000000" w:rsidR="00000000" w:rsidRPr="00000000">
        <w:rPr>
          <w:rtl w:val="0"/>
        </w:rPr>
      </w:r>
    </w:p>
    <w:p w:rsidR="00000000" w:rsidDel="00000000" w:rsidP="00000000" w:rsidRDefault="00000000" w:rsidRPr="00000000" w14:paraId="0000001F">
      <w:pPr>
        <w:numPr>
          <w:ilvl w:val="0"/>
          <w:numId w:val="1"/>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regionaalpoliitika suunised;</w:t>
      </w:r>
      <w:r w:rsidDel="00000000" w:rsidR="00000000" w:rsidRPr="00000000">
        <w:rPr>
          <w:rtl w:val="0"/>
        </w:rPr>
      </w:r>
    </w:p>
    <w:p w:rsidR="00000000" w:rsidDel="00000000" w:rsidP="00000000" w:rsidRDefault="00000000" w:rsidRPr="00000000" w14:paraId="00000020">
      <w:pPr>
        <w:numPr>
          <w:ilvl w:val="0"/>
          <w:numId w:val="1"/>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valdkondlikud arenguprogrammid;</w:t>
      </w:r>
      <w:r w:rsidDel="00000000" w:rsidR="00000000" w:rsidRPr="00000000">
        <w:rPr>
          <w:rtl w:val="0"/>
        </w:rPr>
      </w:r>
    </w:p>
    <w:p w:rsidR="00000000" w:rsidDel="00000000" w:rsidP="00000000" w:rsidRDefault="00000000" w:rsidRPr="00000000" w14:paraId="00000021">
      <w:pPr>
        <w:numPr>
          <w:ilvl w:val="0"/>
          <w:numId w:val="1"/>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planeerimispiirkondade arenguprogrammid ja ruumilised planeeringud;</w:t>
      </w:r>
      <w:r w:rsidDel="00000000" w:rsidR="00000000" w:rsidRPr="00000000">
        <w:rPr>
          <w:rtl w:val="0"/>
        </w:rPr>
      </w:r>
    </w:p>
    <w:p w:rsidR="00000000" w:rsidDel="00000000" w:rsidP="00000000" w:rsidRDefault="00000000" w:rsidRPr="00000000" w14:paraId="00000022">
      <w:pPr>
        <w:numPr>
          <w:ilvl w:val="0"/>
          <w:numId w:val="1"/>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kohalike omavalitsuste arenguprogrammid ja ruumilised planeeringud;</w:t>
      </w:r>
      <w:r w:rsidDel="00000000" w:rsidR="00000000" w:rsidRPr="00000000">
        <w:rPr>
          <w:rtl w:val="0"/>
        </w:rPr>
      </w:r>
    </w:p>
    <w:p w:rsidR="00000000" w:rsidDel="00000000" w:rsidP="00000000" w:rsidRDefault="00000000" w:rsidRPr="00000000" w14:paraId="0000002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Riikliku planeeringu ja riikliku arengukava väljatöötamise, rakendamise, avaliku arutelu ja järelevalve korra määrab Läti Valitsus.</w:t>
      </w:r>
    </w:p>
    <w:p w:rsidR="00000000" w:rsidDel="00000000" w:rsidP="00000000" w:rsidRDefault="00000000" w:rsidRPr="00000000" w14:paraId="0000002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Regionaalpoliitika suunised on pikaajaline (10 ja enam aastat) regionaalpoliitika planeerimisdokument, mis hõlmab piirkondliku arengu peamisi põhimõtteid, eesmärke, prioriteete ja arengusuundi.</w:t>
      </w:r>
    </w:p>
    <w:p w:rsidR="00000000" w:rsidDel="00000000" w:rsidP="00000000" w:rsidRDefault="00000000" w:rsidRPr="00000000" w14:paraId="0000002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Riiklik arengukava</w:t>
      </w:r>
      <w:r w:rsidDel="00000000" w:rsidR="00000000" w:rsidRPr="00000000">
        <w:rPr>
          <w:rFonts w:ascii="Times New Roman" w:cs="Times New Roman" w:eastAsia="Times New Roman" w:hAnsi="Times New Roman"/>
          <w:sz w:val="24"/>
          <w:szCs w:val="24"/>
          <w:rtl w:val="0"/>
        </w:rPr>
        <w:t xml:space="preserve"> on keskpika tähtajaga (seitse aastat) strateegilise planeerimise dokument, milles on vastastikku kooskõlastatud valdkondlikud ja piirkondlikud arenguprioriteedid ning nende rakendamise rahastamisallikad. Riikliku arengukava eesmärk on hõlbustada riigi tasakaalustatud ja jätkusuutlikku arengut ning tagada Läti konkurentsivõime kasv Euroopa Liidus.</w:t>
      </w:r>
    </w:p>
    <w:p w:rsidR="00000000" w:rsidDel="00000000" w:rsidP="00000000" w:rsidRDefault="00000000" w:rsidRPr="00000000" w14:paraId="0000002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Riiklik arengukava töötatakse välja vastavalt regionaalpoliitika suunistes ja riiklikus planeeringus määratud eesmärkidele ja prioriteetidele, võttes arvesse arenguprogrammides ja planeerimispiirkondade territoriaalplaneeringutes määratletud arenguprioriteete.</w:t>
      </w:r>
    </w:p>
    <w:p w:rsidR="00000000" w:rsidDel="00000000" w:rsidP="00000000" w:rsidRDefault="00000000" w:rsidRPr="00000000" w14:paraId="0000002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Valdkondlik arenguprogramm on keskpika (seitsme aasta) poliitika planeerimisdokument, mis kehtib konkreetse valdkonna kohta ning seab eesmärgid, peamised ülesanded ja tulemused, mis tuleb saavutada selle valdkonna arendamisel.</w:t>
      </w:r>
    </w:p>
    <w:p w:rsidR="00000000" w:rsidDel="00000000" w:rsidP="00000000" w:rsidRDefault="00000000" w:rsidRPr="00000000" w14:paraId="0000002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Valdkondliku arenguprogrammi koostamisel ja rakendamisel järgitakse regionaalpoliitika suuniseid, riiklikku planeeringuta riiklikku arengukava.</w:t>
      </w:r>
    </w:p>
    <w:p w:rsidR="00000000" w:rsidDel="00000000" w:rsidP="00000000" w:rsidRDefault="00000000" w:rsidRPr="00000000" w14:paraId="0000002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Planeerimispiirkonna arenguprogrammi töötab välja iga planeerimispiirkond ning see on keskpika tähtajaga (seitsme aasta) regionaalpoliitika planeerimisdokument, kus on toodud asjaomase planeerimispiirkonna territoriaalplaneeringutes arenguprioriteedid ja mis sisaldab konkreetseid meetmeid.</w:t>
      </w:r>
    </w:p>
    <w:p w:rsidR="00000000" w:rsidDel="00000000" w:rsidP="00000000" w:rsidRDefault="00000000" w:rsidRPr="00000000" w14:paraId="0000002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Planeerimispiirkonna arenguprogrammi arendatakse ja rakendatakse vastavalt regionaalpoliitika suunistele, riiklikule planeeringule, riiklikule arengukavale ja vastava planeerimispiirkonna territoriaalsele planeeringule, võttes arvesse arenguprogramme ja planeerimispiirkonnas asuvate kohalike omavalitsuste ruumilised planeeringud.</w:t>
      </w:r>
    </w:p>
    <w:p w:rsidR="00000000" w:rsidDel="00000000" w:rsidP="00000000" w:rsidRDefault="00000000" w:rsidRPr="00000000" w14:paraId="0000002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Planeerimispiirkonna arenguprogrammi kinnitab planeerimispiirkonna arengunõukogu.</w:t>
      </w:r>
    </w:p>
    <w:p w:rsidR="00000000" w:rsidDel="00000000" w:rsidP="00000000" w:rsidRDefault="00000000" w:rsidRPr="00000000" w14:paraId="0000003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Piirkonna kohaliku omavalitsuse arenguprogramm</w:t>
      </w:r>
      <w:r w:rsidDel="00000000" w:rsidR="00000000" w:rsidRPr="00000000">
        <w:rPr>
          <w:rFonts w:ascii="Times New Roman" w:cs="Times New Roman" w:eastAsia="Times New Roman" w:hAnsi="Times New Roman"/>
          <w:sz w:val="24"/>
          <w:szCs w:val="24"/>
          <w:rtl w:val="0"/>
        </w:rPr>
        <w:t xml:space="preserve"> on pikaajaline (12 aastat) regionaalpoliitika planeerimisdokument, milles on täpsustatud vastava kohaliku omavalitsuse arenguprioriteedid ja mis sisaldab konkreetseid meetmeid.</w:t>
      </w:r>
    </w:p>
    <w:p w:rsidR="00000000" w:rsidDel="00000000" w:rsidP="00000000" w:rsidRDefault="00000000" w:rsidRPr="00000000" w14:paraId="0000003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Piirkonna kohaliku omavalitsuse arenguprogramm koostatakse ja viiakse ellu vastavalt kohaliku omavalitsuse territoriaalplaneeringule ning selle planeerimispiirkonna arenguprogrammile ja territoriaalplaneeringule, millesse piirkond hõlmab kohaliku omavalitsuse, võttes arvesse piirkonna territooriumil asuvate kohalike omavalitsuste arenguprogramme ja ruumilisi planeeringuid.</w:t>
      </w:r>
    </w:p>
    <w:p w:rsidR="00000000" w:rsidDel="00000000" w:rsidP="00000000" w:rsidRDefault="00000000" w:rsidRPr="00000000" w14:paraId="0000003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Piirkonna kohaliku omavalitsuse arenguprogrammi kinnitab asjaomane kohaliku omavalitsuse volikogu.</w:t>
      </w:r>
    </w:p>
    <w:p w:rsidR="00000000" w:rsidDel="00000000" w:rsidP="00000000" w:rsidRDefault="00000000" w:rsidRPr="00000000" w14:paraId="0000003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Kohaliku omavalitsuse arenguprogramm</w:t>
      </w:r>
      <w:r w:rsidDel="00000000" w:rsidR="00000000" w:rsidRPr="00000000">
        <w:rPr>
          <w:rFonts w:ascii="Times New Roman" w:cs="Times New Roman" w:eastAsia="Times New Roman" w:hAnsi="Times New Roman"/>
          <w:sz w:val="24"/>
          <w:szCs w:val="24"/>
          <w:rtl w:val="0"/>
        </w:rPr>
        <w:t xml:space="preserve"> on pikaajalise (12 aastat) regionaalpoliitika planeerimisdokument, milles täpsustatakse vastava kohaliku omavalitsuse arenguprioriteedid.</w:t>
      </w:r>
    </w:p>
    <w:p w:rsidR="00000000" w:rsidDel="00000000" w:rsidP="00000000" w:rsidRDefault="00000000" w:rsidRPr="00000000" w14:paraId="0000003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Kohaliku omavalitsuse arenguprogrammi arendatakse ja rakendatakse vastavalt kohaliku omavalitsuse territoriaalplaneeringule, mis hõlmab kohalikku omavalitsust.</w:t>
      </w:r>
    </w:p>
    <w:p w:rsidR="00000000" w:rsidDel="00000000" w:rsidP="00000000" w:rsidRDefault="00000000" w:rsidRPr="00000000" w14:paraId="0000003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Kohaliku omavalitsuse arenguprogrammi kinnitab kohaliku omavalitsuse üksuse volikogu.</w:t>
      </w:r>
    </w:p>
    <w:p w:rsidR="00000000" w:rsidDel="00000000" w:rsidP="00000000" w:rsidRDefault="00000000" w:rsidRPr="00000000" w14:paraId="00000038">
      <w:pPr>
        <w:spacing w:line="240" w:lineRule="auto"/>
        <w:jc w:val="both"/>
        <w:rPr>
          <w:rFonts w:ascii="Times New Roman" w:cs="Times New Roman" w:eastAsia="Times New Roman" w:hAnsi="Times New Roman"/>
          <w:smallCaps w:val="1"/>
          <w:sz w:val="24"/>
          <w:szCs w:val="24"/>
          <w:highlight w:val="white"/>
        </w:rPr>
      </w:pPr>
      <w:r w:rsidDel="00000000" w:rsidR="00000000" w:rsidRPr="00000000">
        <w:rPr>
          <w:rtl w:val="0"/>
        </w:rPr>
      </w:r>
    </w:p>
    <w:p w:rsidR="00000000" w:rsidDel="00000000" w:rsidP="00000000" w:rsidRDefault="00000000" w:rsidRPr="00000000" w14:paraId="0000003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Läti Valitsus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kinnitab regionaalpoliitika suunised ja riikliku arengukava; </w:t>
      </w:r>
    </w:p>
    <w:p w:rsidR="00000000" w:rsidDel="00000000" w:rsidP="00000000" w:rsidRDefault="00000000" w:rsidRPr="00000000" w14:paraId="0000003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highlight w:val="white"/>
          <w:rtl w:val="0"/>
        </w:rPr>
        <w:t xml:space="preserve">2) </w:t>
      </w:r>
      <w:r w:rsidDel="00000000" w:rsidR="00000000" w:rsidRPr="00000000">
        <w:rPr>
          <w:rFonts w:ascii="Times New Roman" w:cs="Times New Roman" w:eastAsia="Times New Roman" w:hAnsi="Times New Roman"/>
          <w:sz w:val="24"/>
          <w:szCs w:val="24"/>
          <w:rtl w:val="0"/>
        </w:rPr>
        <w:t xml:space="preserve">määrab kindlaks regionaalarengu toetusmeetmete rakendamise, hindamise ja rahastamise korra; </w:t>
      </w:r>
    </w:p>
    <w:p w:rsidR="00000000" w:rsidDel="00000000" w:rsidP="00000000" w:rsidRDefault="00000000" w:rsidRPr="00000000" w14:paraId="0000003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määrab kindlaks kohalike omavalitsuste ja planeerimispiirkondade toetuste andmise kriteeriumid Euroopa Liidu struktuurifondide ja Ühtekuuluvusfondi kaasrahastamise projektide elluviimiseks; </w:t>
      </w:r>
    </w:p>
    <w:p w:rsidR="00000000" w:rsidDel="00000000" w:rsidP="00000000" w:rsidRDefault="00000000" w:rsidRPr="00000000" w14:paraId="0000003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määrab kindlaks investeeringute sihtotstarbeliste toetuste andmise ja kasutamise korra; </w:t>
      </w:r>
    </w:p>
    <w:p w:rsidR="00000000" w:rsidDel="00000000" w:rsidP="00000000" w:rsidRDefault="00000000" w:rsidRPr="00000000" w14:paraId="0000003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moodustab regionaalarengu, ruumilise planeerimise ja maapoliitika kooskõlastamiseks riigi regionaalarengu nõukogu, määrab nõukogu liikmete erinevate institutsioonide esindajate arvu ja ametisse nimetamise korra ning nõukogu töökorralduse. </w:t>
      </w:r>
    </w:p>
    <w:p w:rsidR="00000000" w:rsidDel="00000000" w:rsidP="00000000" w:rsidRDefault="00000000" w:rsidRPr="00000000" w14:paraId="0000003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Riigi regionaalarengu nõukogu</w:t>
      </w:r>
      <w:r w:rsidDel="00000000" w:rsidR="00000000" w:rsidRPr="00000000">
        <w:rPr>
          <w:rFonts w:ascii="Times New Roman" w:cs="Times New Roman" w:eastAsia="Times New Roman" w:hAnsi="Times New Roman"/>
          <w:sz w:val="24"/>
          <w:szCs w:val="24"/>
          <w:rtl w:val="0"/>
        </w:rPr>
        <w:t xml:space="preserve"> koosseisu kuuluvad riigiasutuste, planeerimispiirkondade ja kohalike omavalitsuste esindajad. Nõukogu esimees on regionaalarengu ja kohaliku omavalitsuse minister. </w:t>
      </w:r>
    </w:p>
    <w:p w:rsidR="00000000" w:rsidDel="00000000" w:rsidP="00000000" w:rsidRDefault="00000000" w:rsidRPr="00000000" w14:paraId="0000004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Regionaalarengu, ruumilise planeerimise ja maapoliitika osas täidab Riigi regionaalarengu nõukogu järgmisi ülesandeid: 1) hindab regionaalpoliitika, ruumilise planeerimise ja maapoliitika valdkonna poliitikate kavandamise dokumentide ja õigusaktide eelnõusid; 2) hindab piirkondliku taseme planeerimisdokumente ning hõlbustab nende vastastikust ühilduvust ja kooskõlastamist riigi tasandi poliitika planeerimisdokumentidega; 3) vaatab läbi regionaalpoliitika, ruumilise planeerimise ja maapoliitika rakendamise kulgemise aruanded ning esitab ettepanekud nimetatud poliitikate parandamiseks; 4) hindab regionaalarengu toetusmeetme rahastamise territoriaalse jaotuse kriteeriume.</w:t>
      </w:r>
    </w:p>
    <w:p w:rsidR="00000000" w:rsidDel="00000000" w:rsidP="00000000" w:rsidRDefault="00000000" w:rsidRPr="00000000" w14:paraId="0000004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Regionaalarengu ja kohaliku omavalitsuse ministeerium</w:t>
      </w:r>
      <w:r w:rsidDel="00000000" w:rsidR="00000000" w:rsidRPr="00000000">
        <w:rPr>
          <w:rFonts w:ascii="Times New Roman" w:cs="Times New Roman" w:eastAsia="Times New Roman" w:hAnsi="Times New Roman"/>
          <w:sz w:val="24"/>
          <w:szCs w:val="24"/>
          <w:rtl w:val="0"/>
        </w:rPr>
        <w:t xml:space="preserve"> on riigi regionaalpoliitika arendamise ja elluviimise juhtiv ametiasutus. Ministeerium koordineerib regionaalarengu riiklike toetusmeetmete rakendamist ning teostab planeerimispiirkondade töö järelevalvet. </w:t>
      </w:r>
    </w:p>
    <w:p w:rsidR="00000000" w:rsidDel="00000000" w:rsidP="00000000" w:rsidRDefault="00000000" w:rsidRPr="00000000" w14:paraId="0000004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Planeerimispiirkonnad tagavad oma pädevuse piires regionaalarengu planeerimise ja koordineerimise ning kohaliku omavalitsuse ja riigiasutuste koostöö.</w:t>
      </w:r>
    </w:p>
    <w:p w:rsidR="00000000" w:rsidDel="00000000" w:rsidP="00000000" w:rsidRDefault="00000000" w:rsidRPr="00000000" w14:paraId="0000004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Planeerimispiirkonnad peavad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määrama planeerimispiirkonna pikaajalise arengu peamised põhimõtted, eesmärgid ja prioriteedid;</w:t>
      </w:r>
    </w:p>
    <w:p w:rsidR="00000000" w:rsidDel="00000000" w:rsidP="00000000" w:rsidRDefault="00000000" w:rsidRPr="00000000" w14:paraId="0000004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tagama planeerimispiirkonna arengu koordineerimise kooskõlas regionaalarengu planeerimisdokumentides määratletud peamiste põhimõtete, eesmärkide ja prioriteetidega,</w:t>
      </w:r>
    </w:p>
    <w:p w:rsidR="00000000" w:rsidDel="00000000" w:rsidP="00000000" w:rsidRDefault="00000000" w:rsidRPr="00000000" w14:paraId="0000004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haldama ja jälgima planeerimispiirkonna arenguprogrammide ja ruumilise planeerimise arendamist ja rakendamist;</w:t>
      </w:r>
    </w:p>
    <w:p w:rsidR="00000000" w:rsidDel="00000000" w:rsidP="00000000" w:rsidRDefault="00000000" w:rsidRPr="00000000" w14:paraId="0000004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hindama ja esitama arvamusi piirkondliku ja regionaalse tasandi arengukava dokumentide vastastikuse kooskõlastamise ja nende vastavuse kohta õigusaktide nõuetele;</w:t>
      </w:r>
    </w:p>
    <w:p w:rsidR="00000000" w:rsidDel="00000000" w:rsidP="00000000" w:rsidRDefault="00000000" w:rsidRPr="00000000" w14:paraId="0000004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tagama kohaliku omavalitsuse koostöö ja planeerimispiirkonna koostöö riigi ametiasutustega regionaalarengu toetusmeetmete rakendamiseks;</w:t>
      </w:r>
    </w:p>
    <w:p w:rsidR="00000000" w:rsidDel="00000000" w:rsidP="00000000" w:rsidRDefault="00000000" w:rsidRPr="00000000" w14:paraId="0000004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hindama riikliku planeeringu, riikliku arengukava ja valdkondlike arenguprogrammide vastavust planeerimispiirkonna arenguprogrammile ja ruumilisele planeeringule ning tegema nõuetele mittevastavuse korral ettepanekuid muudatuste tegemiseks riigi tasandi arengukava dokumentidesse või otsustama muudatuste tegemise planeerimisdokumentidesse;</w:t>
      </w:r>
    </w:p>
    <w:p w:rsidR="00000000" w:rsidDel="00000000" w:rsidP="00000000" w:rsidRDefault="00000000" w:rsidRPr="00000000" w14:paraId="0000004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hindama kohaliku omavalitsuse või eraisiku poolt regionaalarengu riigiabi saamiseks esitatud projekte ja esitama nende kohta arvamusi;</w:t>
      </w:r>
    </w:p>
    <w:p w:rsidR="00000000" w:rsidDel="00000000" w:rsidP="00000000" w:rsidRDefault="00000000" w:rsidRPr="00000000" w14:paraId="0000004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koostöös kohalike omavalitsuste ja riigiasutustega töötama välja planeerimispiirkonna arenguprogrammi ja ruumilise planeeringu, tagama selle kooskõlastamise riikliku planeeringu, riikliku arengukava ja valdkondlike arenguprogrammidega ning haldama planeeritava piirkonna arengukava rakendamist; </w:t>
      </w:r>
    </w:p>
    <w:p w:rsidR="00000000" w:rsidDel="00000000" w:rsidP="00000000" w:rsidRDefault="00000000" w:rsidRPr="00000000" w14:paraId="0000004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koordineerima ja edendama planeerimispiirkonna regionaalarengu toetusmeetmete väljatöötamist, rakendamist järelevalvet ja hindamist;</w:t>
      </w:r>
    </w:p>
    <w:p w:rsidR="00000000" w:rsidDel="00000000" w:rsidP="00000000" w:rsidRDefault="00000000" w:rsidRPr="00000000" w14:paraId="0000005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valmistama ette arvamusi riikliku tasandi arengukava dokumentide vastavuse kohta planeerimispiirkonna arenguprogrammile ja planeeringule;</w:t>
      </w:r>
    </w:p>
    <w:p w:rsidR="00000000" w:rsidDel="00000000" w:rsidP="00000000" w:rsidRDefault="00000000" w:rsidRPr="00000000" w14:paraId="0000005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töötama välja ja rakendama projekte regionaalarengu toetusmeetmete raames;</w:t>
      </w:r>
    </w:p>
    <w:p w:rsidR="00000000" w:rsidDel="00000000" w:rsidP="00000000" w:rsidRDefault="00000000" w:rsidRPr="00000000" w14:paraId="0000005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Planeerimispiirkonna pädevuse rakendamiseks </w:t>
      </w:r>
      <w:r w:rsidDel="00000000" w:rsidR="00000000" w:rsidRPr="00000000">
        <w:rPr>
          <w:rFonts w:ascii="Times New Roman" w:cs="Times New Roman" w:eastAsia="Times New Roman" w:hAnsi="Times New Roman"/>
          <w:b w:val="1"/>
          <w:sz w:val="24"/>
          <w:szCs w:val="24"/>
          <w:rtl w:val="0"/>
        </w:rPr>
        <w:t xml:space="preserve">planeerimispiirkonna arengunõukogu</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kiidab heaks planeerimispiirkonna põhimääruse ja eelarve:</w:t>
      </w:r>
    </w:p>
    <w:p w:rsidR="00000000" w:rsidDel="00000000" w:rsidP="00000000" w:rsidRDefault="00000000" w:rsidRPr="00000000" w14:paraId="0000005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võib asutada, ümber korraldada või tühistada planeerimispiirkonna asutusi äriühinguid;</w:t>
      </w:r>
    </w:p>
    <w:p w:rsidR="00000000" w:rsidDel="00000000" w:rsidP="00000000" w:rsidRDefault="00000000" w:rsidRPr="00000000" w14:paraId="0000005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võib otsustada äriühingutes või sihtasutustes osalemise;</w:t>
      </w:r>
    </w:p>
    <w:p w:rsidR="00000000" w:rsidDel="00000000" w:rsidP="00000000" w:rsidRDefault="00000000" w:rsidRPr="00000000" w14:paraId="0000005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määrab kindlaks tasu nõukogu esimehe ning volikogu liikmete ja haldustöötajate ülesanded ning nende eest tasumise korra;</w:t>
      </w:r>
    </w:p>
    <w:p w:rsidR="00000000" w:rsidDel="00000000" w:rsidP="00000000" w:rsidRDefault="00000000" w:rsidRPr="00000000" w14:paraId="0000005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määrab kindlaks planeerimispiirkonna poolt osutatavate teenuste liigid ja tasumäärad.</w:t>
      </w:r>
    </w:p>
    <w:p w:rsidR="00000000" w:rsidDel="00000000" w:rsidP="00000000" w:rsidRDefault="00000000" w:rsidRPr="00000000" w14:paraId="0000005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Planeerimispiirkonna arengunõukogu valib planeerimispiirkonnas asuvate kohalike omavalitsuste volikogude esimeeste üldkoosolek asjaomaste kohalike omavalitsuste volikogude liikmete hulgast. Kohalike omavalitsuste volikogude esimeeste üldkoosolek teeb otsuseid, kui seaduses ei ole sätestatud teisiti.</w:t>
      </w:r>
    </w:p>
    <w:p w:rsidR="00000000" w:rsidDel="00000000" w:rsidP="00000000" w:rsidRDefault="00000000" w:rsidRPr="00000000" w14:paraId="0000005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414142"/>
          <w:sz w:val="24"/>
          <w:szCs w:val="24"/>
          <w:rtl w:val="0"/>
        </w:rPr>
        <w:t xml:space="preserve">Planeerimispiirkondade rahastamise kord.</w:t>
      </w:r>
      <w:r w:rsidDel="00000000" w:rsidR="00000000" w:rsidRPr="00000000">
        <w:rPr>
          <w:rtl w:val="0"/>
        </w:rPr>
      </w:r>
    </w:p>
    <w:p w:rsidR="00000000" w:rsidDel="00000000" w:rsidP="00000000" w:rsidRDefault="00000000" w:rsidRPr="00000000" w14:paraId="0000005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Planeerimispiirkondade rahastamise allikad võivad olla järgmised:</w:t>
      </w:r>
    </w:p>
    <w:p w:rsidR="00000000" w:rsidDel="00000000" w:rsidP="00000000" w:rsidRDefault="00000000" w:rsidRPr="00000000" w14:paraId="0000005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riigieelarvest toetused planeerimispiirkondade toetuseks;</w:t>
      </w:r>
    </w:p>
    <w:p w:rsidR="00000000" w:rsidDel="00000000" w:rsidP="00000000" w:rsidRDefault="00000000" w:rsidRPr="00000000" w14:paraId="0000005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omatulud, sh planeerimispiirkonna tasulised teenused;</w:t>
      </w:r>
    </w:p>
    <w:p w:rsidR="00000000" w:rsidDel="00000000" w:rsidP="00000000" w:rsidRDefault="00000000" w:rsidRPr="00000000" w14:paraId="0000006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kohaliku omavalitsuse eelarvest antavad toetused vastavalt kohaliku omavalitsuse ja planeerimispiirkonna vahel sõlmitud lepingule;</w:t>
      </w:r>
    </w:p>
    <w:p w:rsidR="00000000" w:rsidDel="00000000" w:rsidP="00000000" w:rsidRDefault="00000000" w:rsidRPr="00000000" w14:paraId="0000006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välisrahastamine;</w:t>
      </w:r>
    </w:p>
    <w:p w:rsidR="00000000" w:rsidDel="00000000" w:rsidP="00000000" w:rsidRDefault="00000000" w:rsidRPr="00000000" w14:paraId="0000006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annetused ja kingitused.</w:t>
      </w:r>
    </w:p>
    <w:p w:rsidR="00000000" w:rsidDel="00000000" w:rsidP="00000000" w:rsidRDefault="00000000" w:rsidRPr="00000000" w14:paraId="0000006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Planeerimispiirkonna koostöö komitee</w:t>
      </w:r>
    </w:p>
    <w:p w:rsidR="00000000" w:rsidDel="00000000" w:rsidP="00000000" w:rsidRDefault="00000000" w:rsidRPr="00000000" w14:paraId="0000006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piirkondliku arengu toetusmeetmete rakendamiseks riigi tasandi institutsioonide ja planeerimispiirkondadega kooskõlastamiseks ja koostöö tagamiseks peab iga planeerimispiirkond moodustama planeerimispiirkonna koostöö komitee.</w:t>
      </w:r>
    </w:p>
    <w:p w:rsidR="00000000" w:rsidDel="00000000" w:rsidP="00000000" w:rsidRDefault="00000000" w:rsidRPr="00000000" w14:paraId="0000006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planeerimispiirkonna koostöö komitee koosolekud on avatud ja neid juhatab planeerimispiirkonna arengunõukogu esimees.</w:t>
      </w:r>
    </w:p>
    <w:p w:rsidR="00000000" w:rsidDel="00000000" w:rsidP="00000000" w:rsidRDefault="00000000" w:rsidRPr="00000000" w14:paraId="0000006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ministeeriumid määravad koostöö koordinaatorid, kes tagavad teabevahetuse planeerimispiirkonna ja ministeeriumi vahel.</w:t>
      </w:r>
    </w:p>
    <w:p w:rsidR="00000000" w:rsidDel="00000000" w:rsidP="00000000" w:rsidRDefault="00000000" w:rsidRPr="00000000" w14:paraId="0000006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planeerimispiirkonna koostöö komitee koosseisu kuuluvad planeerimispiirkonna arengunõukogu määratud esindajad ja ministeeriumide määratud esindajad.</w:t>
      </w:r>
    </w:p>
    <w:p w:rsidR="00000000" w:rsidDel="00000000" w:rsidP="00000000" w:rsidRDefault="00000000" w:rsidRPr="00000000" w14:paraId="0000006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Regionaalarengu rahastamise allikad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regionaalarengu toetusmeetmeid rahastatakse riigieelarvest, kohaliku omavalitsuse eelarvest, välisrahastamise vahenditest ning juriidiliste ja füüsiliste isikute maksetest, sh annetustest;</w:t>
      </w:r>
    </w:p>
    <w:p w:rsidR="00000000" w:rsidDel="00000000" w:rsidP="00000000" w:rsidRDefault="00000000" w:rsidRPr="00000000" w14:paraId="0000006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riiklikku arengukavasse kantud regionaalarengu toetusmeetmeid rahastatakse riigieelarvest, kohaliku omavalitsuse eelarvest, välisrahastamise vahenditest ning juriidiliste ja füüsiliste isikute vahenditest.</w:t>
      </w:r>
    </w:p>
    <w:p w:rsidR="00000000" w:rsidDel="00000000" w:rsidP="00000000" w:rsidRDefault="00000000" w:rsidRPr="00000000" w14:paraId="0000006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Regionaalarengu edendamiseks moodustab Läti Valitsus regionaalfondi, mille kasutamist kontrollib regionaalarengu ja kohaliku omavalitsuse minister. Regionaalfondi vahendeid võib suunata </w:t>
      </w:r>
      <w:r w:rsidDel="00000000" w:rsidR="00000000" w:rsidRPr="00000000">
        <w:rPr>
          <w:rFonts w:ascii="Times New Roman" w:cs="Times New Roman" w:eastAsia="Times New Roman" w:hAnsi="Times New Roman"/>
          <w:b w:val="1"/>
          <w:sz w:val="24"/>
          <w:szCs w:val="24"/>
          <w:rtl w:val="0"/>
        </w:rPr>
        <w:t xml:space="preserve">spetsiaalselt toetatavate territooriumide</w:t>
      </w:r>
      <w:r w:rsidDel="00000000" w:rsidR="00000000" w:rsidRPr="00000000">
        <w:rPr>
          <w:rFonts w:ascii="Times New Roman" w:cs="Times New Roman" w:eastAsia="Times New Roman" w:hAnsi="Times New Roman"/>
          <w:sz w:val="24"/>
          <w:szCs w:val="24"/>
          <w:rtl w:val="0"/>
        </w:rPr>
        <w:t xml:space="preserve"> arengu soodustamiseks. Regionaalfondi põhikirja kinnitab Läti Valitsus.</w:t>
      </w:r>
    </w:p>
    <w:p w:rsidR="00000000" w:rsidDel="00000000" w:rsidP="00000000" w:rsidRDefault="00000000" w:rsidRPr="00000000" w14:paraId="0000006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Kaubandustegevuse kontrolli seadust kohaldatakse regionaalarengu rahastamisel, mida peetakse kaubandustegevusele antavaks abiks.</w:t>
      </w:r>
    </w:p>
    <w:p w:rsidR="00000000" w:rsidDel="00000000" w:rsidP="00000000" w:rsidRDefault="00000000" w:rsidRPr="00000000" w14:paraId="0000007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Spetsiaalselt toetatav territoorium on territoorium, kus majandus- ja sotsiaalarengu negatiivsed suundumused või üks sellistest suundumustest püsivad pikaajaliselt ning millele on seadusega antud spetsiaalselt toetatud territooriumi staatus.</w:t>
      </w:r>
    </w:p>
    <w:p w:rsidR="00000000" w:rsidDel="00000000" w:rsidP="00000000" w:rsidRDefault="00000000" w:rsidRPr="00000000" w14:paraId="0000007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Spetsiaalselt toetatud territooriumi staatuse andmise eesmärk on luua majanduslikud ja sotsiaalsed arengu võimalused majanduslikult nõrkadele või ebasoodsamatele territooriumidele, et edendada võrdsete sotsiaalsete ja majanduslike tingimuste loomist kogu riigi territooriumil.</w:t>
      </w:r>
    </w:p>
    <w:p w:rsidR="00000000" w:rsidDel="00000000" w:rsidP="00000000" w:rsidRDefault="00000000" w:rsidRPr="00000000" w14:paraId="0000007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Spetsiaalselt toetatavate territooriumide arendamist edendatakse spetsiaalse krediidipoliitika, maksusoodustuste ja regionaalfondi vahenditega, mis tagavad täiendavad võimalused selliste projektide rahastamiseks, mille rakendamine asjaomasel territooriumil soodustab majandustegevust, kaitseb olemasolevaid töökohti ja soodustab sellise territooriumi elanike elatustaseme kasvu.</w:t>
      </w:r>
    </w:p>
    <w:p w:rsidR="00000000" w:rsidDel="00000000" w:rsidP="00000000" w:rsidRDefault="00000000" w:rsidRPr="00000000" w14:paraId="00000074">
      <w:pPr>
        <w:spacing w:line="240" w:lineRule="auto"/>
        <w:jc w:val="both"/>
        <w:rPr>
          <w:rFonts w:ascii="Times New Roman" w:cs="Times New Roman" w:eastAsia="Times New Roman" w:hAnsi="Times New Roman"/>
          <w:b w:val="1"/>
          <w:sz w:val="24"/>
          <w:szCs w:val="24"/>
        </w:rPr>
      </w:pPr>
      <w:r w:rsidDel="00000000" w:rsidR="00000000" w:rsidRPr="00000000">
        <w:rPr>
          <w:rFonts w:ascii="Arimo" w:cs="Arimo" w:eastAsia="Arimo" w:hAnsi="Arimo"/>
          <w:strike w:val="1"/>
          <w:color w:val="777777"/>
          <w:sz w:val="24"/>
          <w:szCs w:val="24"/>
          <w:highlight w:val="yellow"/>
          <w:rtl w:val="0"/>
        </w:rPr>
        <w:br w:type="textWrapping"/>
      </w:r>
      <w:r w:rsidDel="00000000" w:rsidR="00000000" w:rsidRPr="00000000">
        <w:rPr>
          <w:rFonts w:ascii="Times New Roman" w:cs="Times New Roman" w:eastAsia="Times New Roman" w:hAnsi="Times New Roman"/>
          <w:b w:val="1"/>
          <w:sz w:val="24"/>
          <w:szCs w:val="24"/>
          <w:rtl w:val="0"/>
        </w:rPr>
        <w:t xml:space="preserve">Spetsiaalselt toetatava territooriumi määramine.</w:t>
      </w:r>
    </w:p>
    <w:p w:rsidR="00000000" w:rsidDel="00000000" w:rsidP="00000000" w:rsidRDefault="00000000" w:rsidRPr="00000000" w14:paraId="0000007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Spetsiaalselt toetatava territooriumi staatuse annab ja lõpetab planeerimispiirkonna arengunõukogu Läti Valitsuse poolt ette nähtud korras. </w:t>
      </w:r>
    </w:p>
    <w:p w:rsidR="00000000" w:rsidDel="00000000" w:rsidP="00000000" w:rsidRDefault="00000000" w:rsidRPr="00000000" w14:paraId="00000076">
      <w:pPr>
        <w:spacing w:after="160" w:line="259" w:lineRule="auto"/>
        <w:jc w:val="both"/>
        <w:rPr>
          <w:rFonts w:ascii="Times New Roman" w:cs="Times New Roman" w:eastAsia="Times New Roman" w:hAnsi="Times New Roman"/>
          <w:color w:val="5a5a5a"/>
          <w:sz w:val="24"/>
          <w:szCs w:val="24"/>
        </w:rPr>
      </w:pPr>
      <w:r w:rsidDel="00000000" w:rsidR="00000000" w:rsidRPr="00000000">
        <w:rPr>
          <w:rtl w:val="0"/>
        </w:rPr>
      </w:r>
    </w:p>
    <w:p w:rsidR="00000000" w:rsidDel="00000000" w:rsidP="00000000" w:rsidRDefault="00000000" w:rsidRPr="00000000" w14:paraId="00000077">
      <w:pPr>
        <w:rPr>
          <w:rFonts w:ascii="Trebuchet MS" w:cs="Trebuchet MS" w:eastAsia="Trebuchet MS" w:hAnsi="Trebuchet MS"/>
          <w:color w:val="255fa6"/>
          <w:sz w:val="28"/>
          <w:szCs w:val="28"/>
        </w:rPr>
      </w:pPr>
      <w:r w:rsidDel="00000000" w:rsidR="00000000" w:rsidRPr="00000000">
        <w:rPr>
          <w:rtl w:val="0"/>
        </w:rPr>
      </w:r>
    </w:p>
    <w:p w:rsidR="00000000" w:rsidDel="00000000" w:rsidP="00000000" w:rsidRDefault="00000000" w:rsidRPr="00000000" w14:paraId="00000078">
      <w:pPr>
        <w:rPr>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9">
      <w:pPr>
        <w:spacing w:after="160" w:line="259" w:lineRule="auto"/>
        <w:jc w:val="both"/>
        <w:rPr>
          <w:color w:val="275096"/>
          <w:sz w:val="20"/>
          <w:szCs w:val="20"/>
          <w:u w:val="singl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275096"/>
          <w:sz w:val="20"/>
          <w:szCs w:val="20"/>
          <w:u w:val="single"/>
          <w:rtl w:val="0"/>
        </w:rPr>
        <w:t xml:space="preserve">Statistical Yearbook of Latvia 2018 published | Latvia.eu</w:t>
      </w:r>
      <w:r w:rsidDel="00000000" w:rsidR="00000000" w:rsidRPr="00000000">
        <w:rPr>
          <w:rtl w:val="0"/>
        </w:rPr>
      </w:r>
    </w:p>
    <w:p w:rsidR="00000000" w:rsidDel="00000000" w:rsidP="00000000" w:rsidRDefault="00000000" w:rsidRPr="00000000" w14:paraId="0000007A">
      <w:pPr>
        <w:spacing w:after="160" w:line="259" w:lineRule="auto"/>
        <w:jc w:val="both"/>
        <w:rPr>
          <w:rFonts w:ascii="Times New Roman" w:cs="Times New Roman" w:eastAsia="Times New Roman" w:hAnsi="Times New Roman"/>
          <w:color w:val="275096"/>
          <w:sz w:val="20"/>
          <w:szCs w:val="20"/>
          <w:u w:val="single"/>
        </w:rPr>
      </w:pPr>
      <w:r w:rsidDel="00000000" w:rsidR="00000000" w:rsidRPr="00000000">
        <w:rPr>
          <w:rFonts w:ascii="Times New Roman" w:cs="Times New Roman" w:eastAsia="Times New Roman" w:hAnsi="Times New Roman"/>
          <w:i w:val="1"/>
          <w:color w:val="275096"/>
          <w:sz w:val="20"/>
          <w:szCs w:val="20"/>
          <w:u w:val="single"/>
          <w:rtl w:val="0"/>
        </w:rPr>
        <w:t xml:space="preserve">https://www.latvia.eu/news/statistical-yearbook-latvia-2018-published</w:t>
      </w:r>
      <w:r w:rsidDel="00000000" w:rsidR="00000000" w:rsidRPr="00000000">
        <w:rPr>
          <w:rtl w:val="0"/>
        </w:rPr>
      </w:r>
    </w:p>
    <w:p w:rsidR="00000000" w:rsidDel="00000000" w:rsidP="00000000" w:rsidRDefault="00000000" w:rsidRPr="00000000" w14:paraId="0000007B">
      <w:pPr>
        <w:spacing w:after="160" w:line="259"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Inga Vilka. Local Government in Latvia. In: Local government in the Member States of the European Union: a comparative legal perspective. Ed. Angel-Manuel Moreno. National Institute of Paublic Administration Madrid. 2012, pp 365-387</w:t>
      </w:r>
    </w:p>
    <w:p w:rsidR="00000000" w:rsidDel="00000000" w:rsidP="00000000" w:rsidRDefault="00000000" w:rsidRPr="00000000" w14:paraId="0000007C">
      <w:pPr>
        <w:spacing w:after="160" w:line="259" w:lineRule="auto"/>
        <w:jc w:val="both"/>
        <w:rPr>
          <w:rFonts w:ascii="Times New Roman" w:cs="Times New Roman" w:eastAsia="Times New Roman" w:hAnsi="Times New Roman"/>
          <w:sz w:val="24"/>
          <w:szCs w:val="24"/>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b w:val="0"/>
        <w:i w:val="0"/>
        <w:smallCaps w:val="0"/>
        <w:strike w:val="0"/>
        <w:shd w:fill="auto" w:val="clear"/>
        <w:vertAlign w:val="baseline"/>
      </w:rPr>
    </w:lvl>
    <w:lvl w:ilvl="1">
      <w:start w:val="1"/>
      <w:numFmt w:val="bullet"/>
      <w:lvlText w:val="o"/>
      <w:lvlJc w:val="left"/>
      <w:pPr>
        <w:ind w:left="1440" w:hanging="360"/>
      </w:pPr>
      <w:rPr>
        <w:rFonts w:ascii="Times New Roman" w:cs="Times New Roman" w:eastAsia="Times New Roman" w:hAnsi="Times New Roman"/>
        <w:b w:val="0"/>
        <w:i w:val="0"/>
        <w:smallCaps w:val="0"/>
        <w:strike w:val="0"/>
        <w:shd w:fill="auto" w:val="clear"/>
        <w:vertAlign w:val="baseline"/>
      </w:rPr>
    </w:lvl>
    <w:lvl w:ilvl="2">
      <w:start w:val="1"/>
      <w:numFmt w:val="bullet"/>
      <w:lvlText w:val="▪"/>
      <w:lvlJc w:val="left"/>
      <w:pPr>
        <w:ind w:left="2160" w:hanging="360"/>
      </w:pPr>
      <w:rPr>
        <w:rFonts w:ascii="Times New Roman" w:cs="Times New Roman" w:eastAsia="Times New Roman" w:hAnsi="Times New Roman"/>
        <w:b w:val="0"/>
        <w:i w:val="0"/>
        <w:smallCaps w:val="0"/>
        <w:strike w:val="0"/>
        <w:shd w:fill="auto" w:val="clear"/>
        <w:vertAlign w:val="baseline"/>
      </w:rPr>
    </w:lvl>
    <w:lvl w:ilvl="3">
      <w:start w:val="1"/>
      <w:numFmt w:val="bullet"/>
      <w:lvlText w:val="•"/>
      <w:lvlJc w:val="left"/>
      <w:pPr>
        <w:ind w:left="2880" w:hanging="360"/>
      </w:pPr>
      <w:rPr>
        <w:rFonts w:ascii="Times New Roman" w:cs="Times New Roman" w:eastAsia="Times New Roman" w:hAnsi="Times New Roman"/>
        <w:b w:val="0"/>
        <w:i w:val="0"/>
        <w:smallCaps w:val="0"/>
        <w:strike w:val="0"/>
        <w:shd w:fill="auto" w:val="clear"/>
        <w:vertAlign w:val="baseline"/>
      </w:rPr>
    </w:lvl>
    <w:lvl w:ilvl="4">
      <w:start w:val="1"/>
      <w:numFmt w:val="bullet"/>
      <w:lvlText w:val="o"/>
      <w:lvlJc w:val="left"/>
      <w:pPr>
        <w:ind w:left="3600" w:hanging="360"/>
      </w:pPr>
      <w:rPr>
        <w:rFonts w:ascii="Times New Roman" w:cs="Times New Roman" w:eastAsia="Times New Roman" w:hAnsi="Times New Roman"/>
        <w:b w:val="0"/>
        <w:i w:val="0"/>
        <w:smallCaps w:val="0"/>
        <w:strike w:val="0"/>
        <w:shd w:fill="auto" w:val="clear"/>
        <w:vertAlign w:val="baseline"/>
      </w:rPr>
    </w:lvl>
    <w:lvl w:ilvl="5">
      <w:start w:val="1"/>
      <w:numFmt w:val="bullet"/>
      <w:lvlText w:val="▪"/>
      <w:lvlJc w:val="left"/>
      <w:pPr>
        <w:ind w:left="4320" w:hanging="360"/>
      </w:pPr>
      <w:rPr>
        <w:rFonts w:ascii="Times New Roman" w:cs="Times New Roman" w:eastAsia="Times New Roman" w:hAnsi="Times New Roman"/>
        <w:b w:val="0"/>
        <w:i w:val="0"/>
        <w:smallCaps w:val="0"/>
        <w:strike w:val="0"/>
        <w:shd w:fill="auto" w:val="clear"/>
        <w:vertAlign w:val="baseline"/>
      </w:rPr>
    </w:lvl>
    <w:lvl w:ilvl="6">
      <w:start w:val="1"/>
      <w:numFmt w:val="bullet"/>
      <w:lvlText w:val="•"/>
      <w:lvlJc w:val="left"/>
      <w:pPr>
        <w:ind w:left="5040" w:hanging="360"/>
      </w:pPr>
      <w:rPr>
        <w:rFonts w:ascii="Times New Roman" w:cs="Times New Roman" w:eastAsia="Times New Roman" w:hAnsi="Times New Roman"/>
        <w:b w:val="0"/>
        <w:i w:val="0"/>
        <w:smallCaps w:val="0"/>
        <w:strike w:val="0"/>
        <w:shd w:fill="auto" w:val="clear"/>
        <w:vertAlign w:val="baseline"/>
      </w:rPr>
    </w:lvl>
    <w:lvl w:ilvl="7">
      <w:start w:val="1"/>
      <w:numFmt w:val="bullet"/>
      <w:lvlText w:val="o"/>
      <w:lvlJc w:val="left"/>
      <w:pPr>
        <w:ind w:left="5760" w:hanging="360"/>
      </w:pPr>
      <w:rPr>
        <w:rFonts w:ascii="Times New Roman" w:cs="Times New Roman" w:eastAsia="Times New Roman" w:hAnsi="Times New Roman"/>
        <w:b w:val="0"/>
        <w:i w:val="0"/>
        <w:smallCaps w:val="0"/>
        <w:strike w:val="0"/>
        <w:shd w:fill="auto" w:val="clear"/>
        <w:vertAlign w:val="baseline"/>
      </w:rPr>
    </w:lvl>
    <w:lvl w:ilvl="8">
      <w:start w:val="1"/>
      <w:numFmt w:val="bullet"/>
      <w:lvlText w:val="▪"/>
      <w:lvlJc w:val="left"/>
      <w:pPr>
        <w:ind w:left="6480" w:hanging="360"/>
      </w:pPr>
      <w:rPr>
        <w:rFonts w:ascii="Times New Roman" w:cs="Times New Roman" w:eastAsia="Times New Roman" w:hAnsi="Times New Roman"/>
        <w:b w:val="0"/>
        <w:i w:val="0"/>
        <w:smallCaps w:val="0"/>
        <w:strike w:val="0"/>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jUqCjr8JWdr/2DBiW+XlZZxm/w==">AMUW2mUrRuDjT4/uMd8n9rI9iB5kIflqEslmPHiNUNZ+xUlWYvTrwefZD8ucU4dWWv+2G2zjlk+/C2/C2GtVCBNTy/hiRtcWmo2jLeGSdjZmnP1cZ1UrY5SycssGtDO3WmYSR5625Bk9X67pt0hBjkQkiXsM2dRk3A==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