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>
          <w:rtl w:val="0"/>
        </w:rPr>
        <w:t xml:space="preserve">Sobiv territoriaalne ulatus ja mastaap regionaalseks valitsemiseks ja/või avalike ülesannete täitmiseks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Hindamise objektid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Käesolevalt palume hinnata võimalikke alternatiive regionaalse tasandi valitsemise (või avalike ülesannete korraldamise) sobiva territoriaalse ulatuse ja mastaabi kohta üldiselt. Lisaks sellele viime eraldiseisvana läbi ka 5 olulisema valdkonna ülesannete täitmiseks sobiva territoriaalse ulatuse ja mastaabi hindamise.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Hindamise objektiks on 6 territoriaalset valikuvõimalust: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567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Regionaalne valitsemine ja/või juhtimine toimub maakondlikes piirides – elanike arv vähemalt 25 tuhat (koos või ilma Hiiumaa erandiga/ta);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567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Regionaalne valitsemine ja/või juhtimine toimub funktsionaalsetest linnaregioonidest lähtuvates piirkondades, mis moodustuvad regionaalsete keskuste ja tugevamate maakonnalinnade ümber – elanike arv vähemalt 50 tuhat (Lääne-Hiiu ja Saaremaa erandiga);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567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Regionaalne valitsemine ja/või juhtimine toimub neljas regioonis keskustega Tallinnas, Tartus, Pärnus ja Jõhvis/Narvas – minimaalne elanike arv 150 tuhat;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567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Regionaalne valitsemine ja/või juhtimine toimub kahetasandilisena – osa regionaalseid ülesandeid täidetakse maakondlikul (alternatiiv A) ja osa regionaalsel (alternatiiv C) tasandil;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567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Regionaalne tasand riigi keskvalitsuse ja esmatasandi KOV vahel puudub;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567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Regionaalne tasandi riigi ja maakondliku KOV vahel puudub (praegused esmatasandil KOV-üksused ühendatakse maakondlikes piirides KOV-üksusteks).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Juhul kui Teie hinnangul on veel täiendavaid valikuvõimalusi, siis kirjeldage palun alljärgnevalt kõige olulisemat neist lühidalt ning hinnake seda koos teisega kui alternatiivi G.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Alternatiiv G lühikirjeldus: ...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567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rPr/>
      </w:pPr>
      <w:r w:rsidDel="00000000" w:rsidR="00000000" w:rsidRPr="00000000">
        <w:rPr>
          <w:rtl w:val="0"/>
        </w:rPr>
        <w:t xml:space="preserve">Hindamisküsimused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Eesti õigusruumi raamistikku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(põhiseadus, KOKS, KOLS, jt. asjakohased seadused)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ja selle realistlikke muutmisvõimalusi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võttes seejuures arvesse oluliste poliitiliste erakondade seisukohti?</w:t>
      </w:r>
    </w:p>
    <w:tbl>
      <w:tblPr>
        <w:tblStyle w:val="Table1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maakondlikes piirides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funktsionaalsetes linnaregioonides regionaalsete keskuste ja tugevamate maakonnalinnade ümber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neljas regioonis keskustega Tallinnas, Tartus, Pärnus ja Jõhvis/Narvas 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kahetasandilisena – osad ülesanded maakondades ja osad suuremates regioonides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esmatasandi KOV vahel puudub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maakondliku KOV vahel puudub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riigi keskvõimu valitsemispraktikat ja –kultuuri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(sh. rahulolu ametiasutuste regionaalsete üksuste toimimisega -täidetavad ülesanded, otsustuspädevus, territoriaalne tegevuspiirkond)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lähtudes ministeeriumite arusaamadest ja seisukohtadest haldusala heast regionaalsest ja kohalikust valitsemisest?</w:t>
      </w:r>
    </w:p>
    <w:tbl>
      <w:tblPr>
        <w:tblStyle w:val="Table2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maakondlikes piirides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funktsionaalsetes linnaregioonides regionaalsete keskuste ja tugevamate maakonnalinnade ümber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neljas regioonis keskustega Tallinnas, Tartus, Pärnus ja Jõhvis/Narvas 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kahetasandilisena – osad ülesanded maakondades ja osad suuremates regioonides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esmatasandi KOV vahel puudub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maakondliku KOV vahel puudub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kohalike ja regionaalsete huvirühmade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(KOV ja regionaalne avalik sektor, kogukonnaliidrid ja kodanikuühendused, ettevõtjad)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huve, soove 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6F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maakondlikes piirides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funktsionaalsetes linnaregioonides regionaalsete keskuste ja tugevamate maakonnalinnade ümber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neljas regioonis keskustega Tallinnas, Tartus, Pärnus ja Jõhvis/Narvas 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kahetasandilisena – osad ülesanded maakondades ja osad suuremates regioonides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esmatasandi KOV vahel puudub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maakondliku KOV vahel puudub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valitsemise demokraatlikkusele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(eelkõige esindusdemokraatiale, kuid ka laiemalt elanikkonna kaasatusele valitsemisesse) ja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subsidiaarsusprintsiibi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(see tähendab, et ülesandeid täidetakse madalaimal võimalikul ja majanduslikult mõistlikul territoriaalsel tasandil)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järgimisele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avalike ülesannete täitmisel?</w:t>
      </w:r>
    </w:p>
    <w:tbl>
      <w:tblPr>
        <w:tblStyle w:val="Table4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9B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maakondlikes piirides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funktsionaalsetes linnaregioonides regionaalsete keskuste ja tugevamate maakonnalinnade ümber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neljas regioonis keskustega Tallinnas, Tartus, Pärnus ja Jõhvis/Narvas </w:t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kahetasandilisena – osad ülesanded maakondades ja osad suuremates regioonides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esmatasandi KOV vahel puudub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maakondliku KOV vahel puudub</w:t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regionaalsete valitsemis- ja/või juhtimisorganite otsustusvõimele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ja otsustusprotsesside selgusele?</w:t>
      </w:r>
    </w:p>
    <w:tbl>
      <w:tblPr>
        <w:tblStyle w:val="Table5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C8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C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C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maakondlikes piirides</w:t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funktsionaalsetes linnaregioonides regionaalsete keskuste ja tugevamate maakonnalinnade ümber</w:t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neljas regioonis keskustega Tallinnas, Tartus, Pärnus ja Jõhvis/Narvas </w:t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kahetasandilisena – osad ülesanded maakondades ja osad suuremates regioonides</w:t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esmatasandi KOV vahel puudub</w:t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maakondliku KOV vahel puudub</w:t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haldussuutlikkusele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võimele täita avalikke ülesandeid ja seejuures järgida kvaliteedikriteeriume, tagada halduslik professionaalsus ja spetsialiseeritus, meeskonnatöö toimimine?</w:t>
      </w:r>
    </w:p>
    <w:tbl>
      <w:tblPr>
        <w:tblStyle w:val="Table6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F6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maakondlikes piirides</w:t>
            </w:r>
          </w:p>
        </w:tc>
        <w:tc>
          <w:tcPr/>
          <w:p w:rsidR="00000000" w:rsidDel="00000000" w:rsidP="00000000" w:rsidRDefault="00000000" w:rsidRPr="00000000" w14:paraId="000000F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funktsionaalsetes linnaregioonides regionaalsete keskuste ja tugevamate maakonnalinnade ümber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neljas regioonis keskustega Tallinnas, Tartus, Pärnus ja Jõhvis/Narvas </w:t>
            </w:r>
          </w:p>
        </w:tc>
        <w:tc>
          <w:tcPr/>
          <w:p w:rsidR="00000000" w:rsidDel="00000000" w:rsidP="00000000" w:rsidRDefault="00000000" w:rsidRPr="00000000" w14:paraId="0000010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kahetasandilisena – osad ülesanded maakondades ja osad suuremates regioonides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esmatasandi KOV vahel puudub</w:t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maakondliku KOV vahel puudub</w:t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Eesti avaliku sektori toimimise ökonoomsusele ja kuluefektiivsusele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7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24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2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maakondlikes piirides</w:t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funktsionaalsetes linnaregioonides regionaalsete keskuste ja tugevamate maakonnalinnade ümber</w:t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neljas regioonis keskustega Tallinnas, Tartus, Pärnus ja Jõhvis/Narvas </w:t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kahetasandilisena – osad ülesanded maakondades ja osad suuremates regioonides</w:t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esmatasandi KOV vahel puudub</w:t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maakondliku KOV vahel puudub</w:t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Eesti regionaalsele arengule,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regioonide võimele kavandada, rahastada ja ellu viia sotsiaal-majanduslikke arendustegevusi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8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50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5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5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maakondlikes piirides</w:t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funktsionaalsetes linnaregioonides regionaalsete keskuste ja tugevamate maakonnalinnade ümber</w:t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neljas regioonis keskustega Tallinnas, Tartus, Pärnus ja Jõhvis/Narvas </w:t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kahetasandilisena – osad ülesanded maakondades ja osad suuremates regioonides</w:t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esmatasandi KOV vahel puudub</w:t>
            </w:r>
          </w:p>
        </w:tc>
        <w:tc>
          <w:tcPr/>
          <w:p w:rsidR="00000000" w:rsidDel="00000000" w:rsidP="00000000" w:rsidRDefault="00000000" w:rsidRPr="00000000" w14:paraId="0000016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maakondliku KOV vahel puudub</w:t>
            </w:r>
          </w:p>
        </w:tc>
        <w:tc>
          <w:tcPr/>
          <w:p w:rsidR="00000000" w:rsidDel="00000000" w:rsidP="00000000" w:rsidRDefault="00000000" w:rsidRPr="00000000" w14:paraId="0000017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elanikkonna piirkondlikule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(kohalikule ja regionaalsele)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identiteedile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Eesti ühiskonna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territoriaal-kogukondlikule sidususele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</w:t>
      </w:r>
    </w:p>
    <w:tbl>
      <w:tblPr>
        <w:tblStyle w:val="Table9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7E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8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8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maakondlikes piirides</w:t>
            </w:r>
          </w:p>
        </w:tc>
        <w:tc>
          <w:tcPr/>
          <w:p w:rsidR="00000000" w:rsidDel="00000000" w:rsidP="00000000" w:rsidRDefault="00000000" w:rsidRPr="00000000" w14:paraId="0000018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funktsionaalsetes linnaregioonides regionaalsete keskuste ja tugevamate maakonnalinnade ümber</w:t>
            </w:r>
          </w:p>
        </w:tc>
        <w:tc>
          <w:tcPr/>
          <w:p w:rsidR="00000000" w:rsidDel="00000000" w:rsidP="00000000" w:rsidRDefault="00000000" w:rsidRPr="00000000" w14:paraId="0000018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neljas regioonis keskustega Tallinnas, Tartus, Pärnus ja Jõhvis/Narvas </w:t>
            </w:r>
          </w:p>
        </w:tc>
        <w:tc>
          <w:tcPr/>
          <w:p w:rsidR="00000000" w:rsidDel="00000000" w:rsidP="00000000" w:rsidRDefault="00000000" w:rsidRPr="00000000" w14:paraId="0000019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valitsemine toimub kahetasandilisena – osad ülesanded maakondades ja osad suuremates regioonides</w:t>
            </w:r>
          </w:p>
        </w:tc>
        <w:tc>
          <w:tcPr/>
          <w:p w:rsidR="00000000" w:rsidDel="00000000" w:rsidP="00000000" w:rsidRDefault="00000000" w:rsidRPr="00000000" w14:paraId="0000019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esmatasandi KOV vahel puudub</w:t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tasand riigi ja maakondliku KOV vahel puudub</w:t>
            </w:r>
          </w:p>
        </w:tc>
        <w:tc>
          <w:tcPr/>
          <w:p w:rsidR="00000000" w:rsidDel="00000000" w:rsidP="00000000" w:rsidRDefault="00000000" w:rsidRPr="00000000" w14:paraId="0000019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6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jc w:val="left"/>
        <w:rPr>
          <w:rFonts w:ascii="Calibri" w:cs="Calibri" w:eastAsia="Calibri" w:hAnsi="Calibri"/>
          <w:color w:val="2e75b5"/>
          <w:sz w:val="32"/>
          <w:szCs w:val="32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180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1440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432" w:hanging="432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720" w:hanging="720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864" w:hanging="864"/>
    </w:pPr>
    <w:rPr>
      <w:rFonts w:ascii="Calibri" w:cs="Calibri" w:eastAsia="Calibri" w:hAnsi="Calibri"/>
      <w:i w:val="1"/>
      <w:color w:val="2e75b5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34E54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 w:val="1"/>
    <w:rsid w:val="00B4262F"/>
    <w:pPr>
      <w:keepNext w:val="1"/>
      <w:keepLines w:val="1"/>
      <w:spacing w:after="0" w:before="240"/>
      <w:ind w:left="432" w:hanging="432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82625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58358D"/>
    <w:pPr>
      <w:keepNext w:val="1"/>
      <w:keepLines w:val="1"/>
      <w:spacing w:after="0" w:before="40"/>
      <w:ind w:left="720" w:hanging="72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CC3406"/>
    <w:pPr>
      <w:keepNext w:val="1"/>
      <w:keepLines w:val="1"/>
      <w:numPr>
        <w:ilvl w:val="3"/>
        <w:numId w:val="1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E1549A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CC3406"/>
    <w:pPr>
      <w:keepNext w:val="1"/>
      <w:keepLines w:val="1"/>
      <w:numPr>
        <w:ilvl w:val="6"/>
        <w:numId w:val="1"/>
      </w:numPr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CC3406"/>
    <w:pPr>
      <w:keepNext w:val="1"/>
      <w:keepLines w:val="1"/>
      <w:numPr>
        <w:ilvl w:val="7"/>
        <w:numId w:val="1"/>
      </w:numPr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C3406"/>
    <w:pPr>
      <w:keepNext w:val="1"/>
      <w:keepLines w:val="1"/>
      <w:numPr>
        <w:ilvl w:val="8"/>
        <w:numId w:val="1"/>
      </w:numPr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B4262F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782625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58358D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CC3406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CC3406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paragraph" w:styleId="ListParagraph">
    <w:name w:val="List Paragraph"/>
    <w:basedOn w:val="Normal"/>
    <w:uiPriority w:val="34"/>
    <w:qFormat w:val="1"/>
    <w:rsid w:val="00CC3406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542D7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2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42D7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42D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2D7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2D77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2D7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2D77"/>
    <w:rPr>
      <w:rFonts w:ascii="Segoe UI" w:cs="Segoe UI" w:hAnsi="Segoe UI"/>
      <w:sz w:val="18"/>
      <w:szCs w:val="18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E1549A"/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Standard" w:customStyle="1">
    <w:name w:val="Standard"/>
    <w:rsid w:val="00E1549A"/>
    <w:pPr>
      <w:suppressAutoHyphens w:val="1"/>
      <w:autoSpaceDN w:val="0"/>
      <w:spacing w:after="0" w:line="240" w:lineRule="auto"/>
      <w:textAlignment w:val="baseline"/>
    </w:pPr>
    <w:rPr>
      <w:rFonts w:ascii="Liberation Serif" w:cs="Arial" w:eastAsia="NSimSun" w:hAnsi="Liberation Serif"/>
      <w:kern w:val="3"/>
      <w:sz w:val="24"/>
      <w:szCs w:val="24"/>
      <w:lang w:bidi="hi-IN" w:eastAsia="zh-CN"/>
    </w:rPr>
  </w:style>
  <w:style w:type="paragraph" w:styleId="NormalWeb">
    <w:name w:val="Normal (Web)"/>
    <w:basedOn w:val="Normal"/>
    <w:uiPriority w:val="99"/>
    <w:semiHidden w:val="1"/>
    <w:unhideWhenUsed w:val="1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paragraph" w:styleId="Default" w:customStyle="1">
    <w:name w:val="Default"/>
    <w:rsid w:val="00E1549A"/>
    <w:pPr>
      <w:autoSpaceDE w:val="0"/>
      <w:autoSpaceDN w:val="0"/>
      <w:adjustRightInd w:val="0"/>
      <w:spacing w:after="0" w:line="240" w:lineRule="auto"/>
    </w:pPr>
    <w:rPr>
      <w:rFonts w:ascii="EUAlbertina" w:cs="EUAlbertina" w:hAnsi="EUAlbertina"/>
      <w:color w:val="000000"/>
      <w:sz w:val="24"/>
      <w:szCs w:val="24"/>
    </w:rPr>
  </w:style>
  <w:style w:type="paragraph" w:styleId="paragraph" w:customStyle="1">
    <w:name w:val="paragraph"/>
    <w:basedOn w:val="Normal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 w:val="1"/>
    <w:rsid w:val="00E1549A"/>
    <w:rPr>
      <w:b w:val="1"/>
      <w:bCs w:val="1"/>
    </w:rPr>
  </w:style>
  <w:style w:type="paragraph" w:styleId="Quote">
    <w:name w:val="Quote"/>
    <w:basedOn w:val="Normal"/>
    <w:next w:val="Normal"/>
    <w:link w:val="QuoteChar"/>
    <w:uiPriority w:val="29"/>
    <w:qFormat w:val="1"/>
    <w:rsid w:val="00C40A4C"/>
    <w:pPr>
      <w:spacing w:before="200"/>
      <w:ind w:left="864" w:right="864"/>
    </w:pPr>
    <w:rPr>
      <w:i w:val="1"/>
      <w:iCs w:val="1"/>
      <w:color w:val="404040" w:themeColor="text1" w:themeTint="0000BF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rsid w:val="00C40A4C"/>
    <w:rPr>
      <w:i w:val="1"/>
      <w:iCs w:val="1"/>
      <w:color w:val="404040" w:themeColor="text1" w:themeTint="0000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C40A4C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0A4C"/>
  </w:style>
  <w:style w:type="paragraph" w:styleId="Footer">
    <w:name w:val="footer"/>
    <w:basedOn w:val="Normal"/>
    <w:link w:val="FooterChar"/>
    <w:uiPriority w:val="99"/>
    <w:unhideWhenUsed w:val="1"/>
    <w:rsid w:val="00C40A4C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0A4C"/>
  </w:style>
  <w:style w:type="paragraph" w:styleId="Normal1" w:customStyle="1">
    <w:name w:val="Normal1"/>
    <w:rsid w:val="003E52A1"/>
    <w:pPr>
      <w:spacing w:after="0" w:line="276" w:lineRule="auto"/>
    </w:pPr>
    <w:rPr>
      <w:rFonts w:ascii="Arial" w:cs="Arial" w:eastAsia="Arial" w:hAnsi="Arial"/>
    </w:rPr>
  </w:style>
  <w:style w:type="paragraph" w:styleId="Normaallaad1" w:customStyle="1">
    <w:name w:val="Normaallaad1"/>
    <w:rsid w:val="003E52A1"/>
    <w:pPr>
      <w:spacing w:after="0" w:line="276" w:lineRule="auto"/>
    </w:pPr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iIaE6tYBwhutvo7vbzMYhq1xqg==">AMUW2mUMwWIHNpaGDIDnubf23iGb7ycbZzm6bW4qnUetKbzv554Dce/2GmE1cBYm9Pmz8AlkWNJqRTpiR40iOahVjNj5sEjvVVYcEG7F1BtHdIfhflM+j2fAxyoiMDJxug10AFU1B961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2020-01-06T03:30:00Z</dcterms:created>
  <dc:creator>Veiko Sepp</dc:creator>
</cp:coreProperties>
</file>