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02">
      <w:pPr>
        <w:jc w:val="both"/>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03">
      <w:pPr>
        <w:jc w:val="both"/>
        <w:rPr>
          <w:rFonts w:ascii="Trebuchet MS" w:cs="Trebuchet MS" w:eastAsia="Trebuchet MS" w:hAnsi="Trebuchet MS"/>
          <w:color w:val="255fa6"/>
          <w:sz w:val="28"/>
          <w:szCs w:val="28"/>
        </w:rPr>
      </w:pPr>
      <w:r w:rsidDel="00000000" w:rsidR="00000000" w:rsidRPr="00000000">
        <w:rPr>
          <w:rFonts w:ascii="Trebuchet MS" w:cs="Trebuchet MS" w:eastAsia="Trebuchet MS" w:hAnsi="Trebuchet MS"/>
          <w:color w:val="255fa6"/>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255fa6"/>
          <w:sz w:val="28"/>
          <w:szCs w:val="28"/>
          <w:rtl w:val="0"/>
        </w:rPr>
        <w:t xml:space="preserve">Lisa.  Soome kohaliku omavalitsuse stsenaariumid ja visioonid 2030</w:t>
      </w:r>
    </w:p>
    <w:p w:rsidR="00000000" w:rsidDel="00000000" w:rsidP="00000000" w:rsidRDefault="00000000" w:rsidRPr="00000000" w14:paraId="00000004">
      <w:pPr>
        <w:jc w:val="both"/>
        <w:rPr>
          <w:rFonts w:ascii="Trebuchet MS" w:cs="Trebuchet MS" w:eastAsia="Trebuchet MS" w:hAnsi="Trebuchet MS"/>
          <w:sz w:val="17"/>
          <w:szCs w:val="17"/>
        </w:rPr>
      </w:pPr>
      <w:r w:rsidDel="00000000" w:rsidR="00000000" w:rsidRPr="00000000">
        <w:rPr>
          <w:rtl w:val="0"/>
        </w:rPr>
      </w:r>
    </w:p>
    <w:p w:rsidR="00000000" w:rsidDel="00000000" w:rsidP="00000000" w:rsidRDefault="00000000" w:rsidRPr="00000000" w14:paraId="00000005">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TULEVIKU OMAVALITSUSE STSENAARIUMID JA VISIOONID 2030 (SOOME)</w:t>
      </w:r>
    </w:p>
    <w:p w:rsidR="00000000" w:rsidDel="00000000" w:rsidP="00000000" w:rsidRDefault="00000000" w:rsidRPr="00000000" w14:paraId="00000006">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VÄLJAVÕTE</w:t>
      </w:r>
      <w:r w:rsidDel="00000000" w:rsidR="00000000" w:rsidRPr="00000000">
        <w:rPr>
          <w:rFonts w:ascii="Times New Roman" w:cs="Times New Roman" w:eastAsia="Times New Roman" w:hAnsi="Times New Roman"/>
          <w:b w:val="1"/>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7">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Tuleviku omavalitsusüksuse visioonid 2030</w:t>
      </w:r>
    </w:p>
    <w:p w:rsidR="00000000" w:rsidDel="00000000" w:rsidP="00000000" w:rsidRDefault="00000000" w:rsidRPr="00000000" w14:paraId="00000009">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Tuleviku omavalitsusüksuse reformi ülesanne oli luua visioon tuleviku omavalitsusüksusest aastal 2030. Visiooni all peetakse silmas loodud ühist nägemust sellest võimalikust maailmast, kuhu tahetakse välja jõuda. Parlamendi töörühm lõi oma töö tulemusena detsembris ühe ühise visiooni ja nägemuse nelja erineva stsenaariumi kohta eraldi.</w:t>
      </w:r>
    </w:p>
    <w:p w:rsidR="00000000" w:rsidDel="00000000" w:rsidP="00000000" w:rsidRDefault="00000000" w:rsidRPr="00000000" w14:paraId="0000000A">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Omavalitsusüksus on koduks kõigile</w:t>
      </w:r>
    </w:p>
    <w:p w:rsidR="00000000" w:rsidDel="00000000" w:rsidP="00000000" w:rsidRDefault="00000000" w:rsidRPr="00000000" w14:paraId="0000000B">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Parlamendi töörühma koostatud ühine visioon "Omavalitsusüksus on koduks kõigile" peegeldab tuleviku omavalitsusüksuse tuumikideed. Tuleviku omavalitsusüksus on võrgustike aktiivne kasutaja ning tegutseb laiaulatuslikus partnerluses äriringkondade, kolmanda sektori ja oma elanikega. Omavalitsusüksus on oma tulevikku suunatud uuendaja, mis suudab strateegilisi valikuid teha.</w:t>
      </w:r>
    </w:p>
    <w:p w:rsidR="00000000" w:rsidDel="00000000" w:rsidP="00000000" w:rsidRDefault="00000000" w:rsidRPr="00000000" w14:paraId="0000000C">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Innustava elujõulise omavalitsusüksuse visioon ”</w:t>
      </w:r>
      <w:r w:rsidDel="00000000" w:rsidR="00000000" w:rsidRPr="00000000">
        <w:rPr>
          <w:rFonts w:ascii="Times New Roman" w:cs="Times New Roman" w:eastAsia="Times New Roman" w:hAnsi="Times New Roman"/>
          <w:b w:val="1"/>
          <w:i w:val="1"/>
          <w:sz w:val="24"/>
          <w:szCs w:val="24"/>
          <w:rtl w:val="0"/>
        </w:rPr>
        <w:t xml:space="preserve">Oleme koos edukad”</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0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Visiooni kirjeldus rõhutab omavalitsusüksuse rolli tulevikku suunatud uuendaja ja aktiivse võimaluste ärakasutajana. Omavalitsusüksus on edukas oma pikaajaliste strateegiliste valikute tõttu. Erilisi jõupingutusi on tehtud atraktiivsuse säilitamiseks ja omavalitsusüksus arendab oma territooriumi koostöös piirkondlike, maakondlike, riiklike ja rahvusvaheliste toimijatega. Omavalitsusüksuse roll on olla ettevõtjatele, organisatsioonidele, kodanikuühiskonnale ja kohalikele inimestele tingimuste soodustaja ja looja. Töömeetodites ja juhtimises on rõhk ka võrgustikulisusel, koostoimimisel ja partnerlusel.</w:t>
      </w:r>
    </w:p>
    <w:p w:rsidR="00000000" w:rsidDel="00000000" w:rsidP="00000000" w:rsidRDefault="00000000" w:rsidRPr="00000000" w14:paraId="0000000E">
      <w:pPr>
        <w:spacing w:after="12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Lahendusi otsiva omavalitsusüksuse visioon ”</w:t>
      </w:r>
      <w:r w:rsidDel="00000000" w:rsidR="00000000" w:rsidRPr="00000000">
        <w:rPr>
          <w:rFonts w:ascii="Times New Roman" w:cs="Times New Roman" w:eastAsia="Times New Roman" w:hAnsi="Times New Roman"/>
          <w:b w:val="1"/>
          <w:i w:val="1"/>
          <w:sz w:val="24"/>
          <w:szCs w:val="24"/>
          <w:rtl w:val="0"/>
        </w:rPr>
        <w:t xml:space="preserve">Leiame tee heaoluni ja sujuvasse igapäevaellu”.</w:t>
      </w:r>
    </w:p>
    <w:p w:rsidR="00000000" w:rsidDel="00000000" w:rsidP="00000000" w:rsidRDefault="00000000" w:rsidRPr="00000000" w14:paraId="0000000F">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Visiooni kirjeldus rõhutab omavalitsusüksuse tulevikku vaatavat rolli. Omavalitsusüksus on leidnud oma profiili ja teinud selged strateegilised valikud. Kohalikud teenused, haridus, sujuva igapäevaelu võimaldamine ja elukeskkonna arendamine on omavalitsusüksuse tegevuse keskmes. Laialdase sektorite ja administratiivseid piire ületava koostööga otsib omavalitsusüksus teenuste pakkumiseks paindlikke ja kulutõhusaid lahendusi. Samuti rõhutatakse töömeetodites ja juhtimises klientidele ja elanikele orienteeritust ning omavalitsusüksuse kogukondlikku rolli. Omavalitsusüksuse tegevus ja teenuste pakkumine juhinduvad laiaulatuslikust heaoluperspektiivist.</w:t>
      </w:r>
    </w:p>
    <w:p w:rsidR="00000000" w:rsidDel="00000000" w:rsidP="00000000" w:rsidRDefault="00000000" w:rsidRPr="00000000" w14:paraId="00000010">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Laisa omavalitsusüksuse visioon ”</w:t>
      </w:r>
      <w:r w:rsidDel="00000000" w:rsidR="00000000" w:rsidRPr="00000000">
        <w:rPr>
          <w:rFonts w:ascii="Times New Roman" w:cs="Times New Roman" w:eastAsia="Times New Roman" w:hAnsi="Times New Roman"/>
          <w:b w:val="1"/>
          <w:i w:val="1"/>
          <w:sz w:val="24"/>
          <w:szCs w:val="24"/>
          <w:rtl w:val="0"/>
        </w:rPr>
        <w:t xml:space="preserve">Läheme sealt, kus tara kõige madalam”</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11">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Visiooni kirjeldus rõhutab kohaliku omavalitsuse reaktiivset arusaama arendusest. Omavalitsusüksuses on tehtud lühiajalisi strateegilisi valikuid ja omavalitsusüksuse rolli nähakse kitsalt teenusepakkujana. Omavalitsusüksus ajab traditsioonilist majanduspoliitikat, jätab võimalused kasutamata ja ei kasuta süstemaatiliselt võrgustikke, partnerlussuhteid ega näiteks digiteerimist. Tegevus ja juhtimine põhinevad vanadel tegutsemismudelitel ning uuendamine toimub sageli viimasel minutil.</w:t>
      </w:r>
    </w:p>
    <w:p w:rsidR="00000000" w:rsidDel="00000000" w:rsidP="00000000" w:rsidRDefault="00000000" w:rsidRPr="00000000" w14:paraId="00000012">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Heitunud omavalitsusüksuse visioon ”</w:t>
      </w:r>
      <w:r w:rsidDel="00000000" w:rsidR="00000000" w:rsidRPr="00000000">
        <w:rPr>
          <w:rFonts w:ascii="Times New Roman" w:cs="Times New Roman" w:eastAsia="Times New Roman" w:hAnsi="Times New Roman"/>
          <w:b w:val="1"/>
          <w:i w:val="1"/>
          <w:sz w:val="24"/>
          <w:szCs w:val="24"/>
          <w:rtl w:val="0"/>
        </w:rPr>
        <w:t xml:space="preserve">Viimane kustutab tule”</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13">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Visiooni kirjeldus rõhutab, et omavalitsusüksusel ei ole visiooni ega strateegiat. Omavalitsusüksus püüab toime tulla eelkõige oma jõududega. Tegevuses ja juhtimises domineerib passiivsus, mis väljendub suutmatuses uuendusi sisse viia ja otsida uusi, partnerlusel põhinevaid lahendusi. Passiivsus on toonud kaasa negatiivse arengu nõiaringi ja tekitanud olukorra, kus ressursid on vähenenud, teenused on halvenenud ja omavalitsusüksuse olemasolu legitiimsus on ähmastunud.</w:t>
      </w:r>
    </w:p>
    <w:p w:rsidR="00000000" w:rsidDel="00000000" w:rsidP="00000000" w:rsidRDefault="00000000" w:rsidRPr="00000000" w14:paraId="00000014">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http://julkaisut.valtioneuvosto.fi/bitstream/handle/10024/79243/Tulevaisuuden%20kunta_zinepdf.pdf?sequence=1&amp;isAllowed=y</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Le3EVuAK3zmdYPsSZT2NosvCog==">AMUW2mU5WfFhhDq5T8gfuusMFu19VBEw+0LtIOYJg5XNg1JTr9ucbJbybg61o7tWvyzZ1JpLxPOBLolbCv1HHkDZ85COiPUUvS70F8uaMFwLibY4W5PUdps=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