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0" w:before="240" w:line="259" w:lineRule="auto"/>
        <w:jc w:val="both"/>
        <w:rPr>
          <w:rFonts w:ascii="Trebuchet MS" w:cs="Trebuchet MS" w:eastAsia="Trebuchet MS" w:hAnsi="Trebuchet MS"/>
          <w:color w:val="2e74b5"/>
          <w:sz w:val="28"/>
          <w:szCs w:val="28"/>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pStyle w:val="Heading1"/>
        <w:spacing w:after="0" w:before="240" w:line="259" w:lineRule="auto"/>
        <w:jc w:val="both"/>
        <w:rPr>
          <w:rFonts w:ascii="Trebuchet MS" w:cs="Trebuchet MS" w:eastAsia="Trebuchet MS" w:hAnsi="Trebuchet MS"/>
          <w:color w:val="2e74b5"/>
          <w:sz w:val="28"/>
          <w:szCs w:val="28"/>
        </w:rPr>
      </w:pPr>
      <w:bookmarkStart w:colFirst="0" w:colLast="0" w:name="_heading=h.31qx2le8d4ae" w:id="1"/>
      <w:bookmarkEnd w:id="1"/>
      <w:r w:rsidDel="00000000" w:rsidR="00000000" w:rsidRPr="00000000">
        <w:rPr>
          <w:rFonts w:ascii="Trebuchet MS" w:cs="Trebuchet MS" w:eastAsia="Trebuchet MS" w:hAnsi="Trebuchet MS"/>
          <w:color w:val="2e74b5"/>
          <w:sz w:val="28"/>
          <w:szCs w:val="28"/>
        </w:rPr>
        <w:drawing>
          <wp:anchor allowOverlap="1" behindDoc="0" distB="114300" distT="114300" distL="114300" distR="114300" hidden="0" layoutInCell="1" locked="0" relativeHeight="0" simplePos="0">
            <wp:simplePos x="0" y="0"/>
            <wp:positionH relativeFrom="margin">
              <wp:posOffset>4485600</wp:posOffset>
            </wp:positionH>
            <wp:positionV relativeFrom="margin">
              <wp:posOffset>-554399</wp:posOffset>
            </wp:positionV>
            <wp:extent cx="1691648" cy="899461"/>
            <wp:effectExtent b="0" l="0" r="0" t="0"/>
            <wp:wrapSquare wrapText="bothSides" distB="114300" distT="114300" distL="114300" distR="114300"/>
            <wp:docPr id="2" name="image2.jpg"/>
            <a:graphic>
              <a:graphicData uri="http://schemas.openxmlformats.org/drawingml/2006/picture">
                <pic:pic>
                  <pic:nvPicPr>
                    <pic:cNvPr id="0" name="image2.jpg"/>
                    <pic:cNvPicPr preferRelativeResize="0"/>
                  </pic:nvPicPr>
                  <pic:blipFill>
                    <a:blip r:embed="rId8"/>
                    <a:srcRect b="0" l="0" r="0" t="0"/>
                    <a:stretch>
                      <a:fillRect/>
                    </a:stretch>
                  </pic:blipFill>
                  <pic:spPr>
                    <a:xfrm>
                      <a:off x="0" y="0"/>
                      <a:ext cx="1691648" cy="899461"/>
                    </a:xfrm>
                    <a:prstGeom prst="rect"/>
                    <a:ln/>
                  </pic:spPr>
                </pic:pic>
              </a:graphicData>
            </a:graphic>
          </wp:anchor>
        </w:drawing>
      </w:r>
      <w:r w:rsidDel="00000000" w:rsidR="00000000" w:rsidRPr="00000000">
        <w:rPr>
          <w:rFonts w:ascii="Trebuchet MS" w:cs="Trebuchet MS" w:eastAsia="Trebuchet MS" w:hAnsi="Trebuchet MS"/>
          <w:color w:val="2e74b5"/>
          <w:sz w:val="28"/>
          <w:szCs w:val="28"/>
          <w:rtl w:val="0"/>
        </w:rPr>
        <w:t xml:space="preserve">Lisa. Regionaalse valitsemise võrdlevad kogemused</w:t>
      </w:r>
    </w:p>
    <w:p w:rsidR="00000000" w:rsidDel="00000000" w:rsidP="00000000" w:rsidRDefault="00000000" w:rsidRPr="00000000" w14:paraId="00000003">
      <w:pPr>
        <w:spacing w:after="160" w:line="259"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Maailmas on viimasel poolsajandil olnud selge regionaliseerumise trend. Tõsi, regionaalsus ise on väga miteilmseline. Siiski järgnevalt graafikul on kuvatud Regionaalsuse Indeksi skoordi muutus Euroopas, Ameerikas ja Aasias alates 1950-ndatest. Regionaalsuse indeks on teadlaste rühma poolt väljatöötatud, kuid päris tugevasti kasutusel OECD-des detsentraliseerimise tendide analüüsimiseks. Sanrasele metoodikale tuginedes on viimastel aastatel koostatud kohaliku autonoomia indeksit. Regionaalsuse indeksse on hõlmatud vaid need riigid, kus on selgelt defineeritud regioonid, nende juhtimisorganid ning ülesannte ja rahastmaise jätkusuutlikkust. </w:t>
      </w:r>
    </w:p>
    <w:p w:rsidR="00000000" w:rsidDel="00000000" w:rsidP="00000000" w:rsidRDefault="00000000" w:rsidRPr="00000000" w14:paraId="00000005">
      <w:pPr>
        <w:spacing w:after="160" w:line="259"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line="259"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Joonis: regionaalse valitsemise indeks 1950-2010</w:t>
      </w:r>
    </w:p>
    <w:p w:rsidR="00000000" w:rsidDel="00000000" w:rsidP="00000000" w:rsidRDefault="00000000" w:rsidRPr="00000000" w14:paraId="00000007">
      <w:pPr>
        <w:spacing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0" distR="0">
            <wp:extent cx="5734050" cy="3352800"/>
            <wp:effectExtent b="0" l="0" r="0" t="0"/>
            <wp:docPr id="3"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5734050" cy="3352800"/>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Allikas: OECD, 2019, Making decentralisation at work</w:t>
      </w:r>
    </w:p>
    <w:p w:rsidR="00000000" w:rsidDel="00000000" w:rsidP="00000000" w:rsidRDefault="00000000" w:rsidRPr="00000000" w14:paraId="00000009">
      <w:pPr>
        <w:spacing w:after="160" w:line="259"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Tekstikast: regionaalse valitsemise trendid (OECD kokkuvõte). </w:t>
      </w:r>
    </w:p>
    <w:p w:rsidR="00000000" w:rsidDel="00000000" w:rsidP="00000000" w:rsidRDefault="00000000" w:rsidRPr="00000000" w14:paraId="0000000B">
      <w:pPr>
        <w:pBdr>
          <w:top w:color="000000" w:space="0" w:sz="4" w:val="single"/>
          <w:left w:color="000000" w:space="0" w:sz="4" w:val="single"/>
          <w:bottom w:color="000000" w:space="0" w:sz="4" w:val="single"/>
          <w:right w:color="000000" w:space="0" w:sz="4" w:val="single"/>
        </w:pBdr>
        <w:spacing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motivations for regionalisation reforms vary across countries.</w:t>
      </w:r>
      <w:r w:rsidDel="00000000" w:rsidR="00000000" w:rsidRPr="00000000">
        <w:rPr>
          <w:rFonts w:ascii="Times New Roman" w:cs="Times New Roman" w:eastAsia="Times New Roman" w:hAnsi="Times New Roman"/>
          <w:i w:val="1"/>
          <w:sz w:val="24"/>
          <w:szCs w:val="24"/>
          <w:vertAlign w:val="superscript"/>
        </w:rPr>
        <w:footnoteReference w:customMarkFollows="0" w:id="0"/>
      </w:r>
      <w:r w:rsidDel="00000000" w:rsidR="00000000" w:rsidRPr="00000000">
        <w:rPr>
          <w:rFonts w:ascii="Times New Roman" w:cs="Times New Roman" w:eastAsia="Times New Roman" w:hAnsi="Times New Roman"/>
          <w:i w:val="1"/>
          <w:sz w:val="24"/>
          <w:szCs w:val="24"/>
          <w:rtl w:val="0"/>
        </w:rPr>
        <w:t xml:space="preserve"> The size of the country matters: large countries tend to have more layers of autonomous intermediate government (OECD-UCLG, 2016[1]). But, many countries with a size relatively modest have also introduced or strengthened a regional level in recent decades. The main objectives that are followed through regionalisation reforms are an upscale in governance to make economies of scale in public service provision, for example in the health sector or public transport. Regions may also better respond to widening functional labour markets. Other objectives are to improve co-ordination between municipalities and intermediary levels of government, for example on infrastructure delivery, spatial planning and land-use. Larger regions are also expected to be more competitive: they have higher critical mass, more resources to implement effective regional development strategies, and the ability to foster intra-regional co-ordination and to implement more integrated territorial planning. They may better target regional comparative advantages through access to local knowledge, compared to the national government, or to fragmented local governments. </w:t>
      </w:r>
    </w:p>
    <w:p w:rsidR="00000000" w:rsidDel="00000000" w:rsidP="00000000" w:rsidRDefault="00000000" w:rsidRPr="00000000" w14:paraId="0000000C">
      <w:pPr>
        <w:pBdr>
          <w:top w:color="000000" w:space="0" w:sz="4" w:val="single"/>
          <w:left w:color="000000" w:space="0" w:sz="4" w:val="single"/>
          <w:bottom w:color="000000" w:space="0" w:sz="4" w:val="single"/>
          <w:right w:color="000000" w:space="0" w:sz="4" w:val="single"/>
        </w:pBdr>
        <w:spacing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Several countries have created new regions – notably in eastern European countries in the context of the EU enlargement. Others have strengthened existing regions: this is notably the case of recent or current reforms in Nordic countries, France or Italy. In several Nordic and Central and Eastern European countries, higher education, specialised health care or regional public transportation was reassigned from both the municipal and the central government level to a newly created regional level. However, in recent years some European countries have also gone in the opposite direction and have reduced the roles of regions: this is the case for example in Hungary (with recentralisation reforms) or in Denmark (with a reduction in the responsibilities assigned to regions).</w:t>
      </w:r>
    </w:p>
    <w:p w:rsidR="00000000" w:rsidDel="00000000" w:rsidP="00000000" w:rsidRDefault="00000000" w:rsidRPr="00000000" w14:paraId="0000000D">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0E">
      <w:pPr>
        <w:spacing w:after="160" w:line="259"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Kohaliku, piirkondliku ja regionaaltasandi klassikalised funktsioonid on esitatud järgnevas tabelis. Paljudes riikides ei ole võimalik vahet teha piirkondlikul ja regionaalsel tasandil (või siis erinevates anaöüüsides ei käsitleta neid erinevatena), mistõttu on ka alljärgnevas ülesannete jaotuses näha nende sulandumine (kas on ühes või teises). </w:t>
      </w:r>
    </w:p>
    <w:p w:rsidR="00000000" w:rsidDel="00000000" w:rsidP="00000000" w:rsidRDefault="00000000" w:rsidRPr="00000000" w14:paraId="00000010">
      <w:pPr>
        <w:spacing w:after="160" w:line="259"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line="259"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Tabel. Kohaliku, piirkondliku ja regionaalse tasandi klassikalised ülesanded. </w:t>
      </w:r>
    </w:p>
    <w:tbl>
      <w:tblPr>
        <w:tblStyle w:val="Table1"/>
        <w:tblW w:w="9062.0" w:type="dxa"/>
        <w:jc w:val="center"/>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000"/>
      </w:tblPr>
      <w:tblGrid>
        <w:gridCol w:w="3020"/>
        <w:gridCol w:w="3021"/>
        <w:gridCol w:w="3021"/>
        <w:tblGridChange w:id="0">
          <w:tblGrid>
            <w:gridCol w:w="3020"/>
            <w:gridCol w:w="3021"/>
            <w:gridCol w:w="3021"/>
          </w:tblGrid>
        </w:tblGridChange>
      </w:tblGrid>
      <w:tr>
        <w:trPr>
          <w:trHeight w:val="97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12">
            <w:pPr>
              <w:spacing w:line="240" w:lineRule="auto"/>
              <w:jc w:val="center"/>
              <w:rPr>
                <w:rFonts w:ascii="Calibri" w:cs="Calibri" w:eastAsia="Calibri" w:hAnsi="Calibri"/>
              </w:rPr>
            </w:pPr>
            <w:r w:rsidDel="00000000" w:rsidR="00000000" w:rsidRPr="00000000">
              <w:rPr>
                <w:rFonts w:ascii="Calibri" w:cs="Calibri" w:eastAsia="Calibri" w:hAnsi="Calibri"/>
                <w:b w:val="1"/>
                <w:rtl w:val="0"/>
              </w:rPr>
              <w:t xml:space="preserve">Munitsipaaltasand (klassikaline kogukond)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13">
            <w:pPr>
              <w:spacing w:line="240" w:lineRule="auto"/>
              <w:jc w:val="center"/>
              <w:rPr>
                <w:rFonts w:ascii="Calibri" w:cs="Calibri" w:eastAsia="Calibri" w:hAnsi="Calibri"/>
              </w:rPr>
            </w:pPr>
            <w:r w:rsidDel="00000000" w:rsidR="00000000" w:rsidRPr="00000000">
              <w:rPr>
                <w:rFonts w:ascii="Calibri" w:cs="Calibri" w:eastAsia="Calibri" w:hAnsi="Calibri"/>
                <w:b w:val="1"/>
                <w:rtl w:val="0"/>
              </w:rPr>
              <w:t xml:space="preserve">Piirkondlik tasand/ maakond/ koostööpiirkonnad (suur kirjusus)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14">
            <w:pPr>
              <w:spacing w:line="240" w:lineRule="auto"/>
              <w:jc w:val="center"/>
              <w:rPr>
                <w:rFonts w:ascii="Calibri" w:cs="Calibri" w:eastAsia="Calibri" w:hAnsi="Calibri"/>
              </w:rPr>
            </w:pPr>
            <w:r w:rsidDel="00000000" w:rsidR="00000000" w:rsidRPr="00000000">
              <w:rPr>
                <w:rFonts w:ascii="Calibri" w:cs="Calibri" w:eastAsia="Calibri" w:hAnsi="Calibri"/>
                <w:b w:val="1"/>
                <w:rtl w:val="0"/>
              </w:rPr>
              <w:t xml:space="preserve">Regionaaltasand </w:t>
            </w:r>
            <w:r w:rsidDel="00000000" w:rsidR="00000000" w:rsidRPr="00000000">
              <w:rPr>
                <w:rtl w:val="0"/>
              </w:rPr>
            </w:r>
          </w:p>
        </w:tc>
      </w:tr>
      <w:tr>
        <w:trPr>
          <w:trHeight w:val="841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15">
            <w:pPr>
              <w:spacing w:line="240" w:lineRule="auto"/>
              <w:rPr>
                <w:rFonts w:ascii="Calibri" w:cs="Calibri" w:eastAsia="Calibri" w:hAnsi="Calibri"/>
              </w:rPr>
            </w:pPr>
            <w:r w:rsidDel="00000000" w:rsidR="00000000" w:rsidRPr="00000000">
              <w:rPr>
                <w:rFonts w:ascii="Calibri" w:cs="Calibri" w:eastAsia="Calibri" w:hAnsi="Calibri"/>
                <w:rtl w:val="0"/>
              </w:rPr>
              <w:t xml:space="preserve">Lai ülesannete spekter</w:t>
            </w:r>
          </w:p>
          <w:p w:rsidR="00000000" w:rsidDel="00000000" w:rsidP="00000000" w:rsidRDefault="00000000" w:rsidRPr="00000000" w14:paraId="00000016">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7">
            <w:pPr>
              <w:spacing w:line="240" w:lineRule="auto"/>
              <w:rPr>
                <w:rFonts w:ascii="Calibri" w:cs="Calibri" w:eastAsia="Calibri" w:hAnsi="Calibri"/>
              </w:rPr>
            </w:pPr>
            <w:r w:rsidDel="00000000" w:rsidR="00000000" w:rsidRPr="00000000">
              <w:rPr>
                <w:rFonts w:ascii="Calibri" w:cs="Calibri" w:eastAsia="Calibri" w:hAnsi="Calibri"/>
                <w:rtl w:val="0"/>
              </w:rPr>
              <w:t xml:space="preserve">Universaalpädevus – kõik kohalikud asjad </w:t>
            </w:r>
          </w:p>
          <w:p w:rsidR="00000000" w:rsidDel="00000000" w:rsidP="00000000" w:rsidRDefault="00000000" w:rsidRPr="00000000" w14:paraId="00000018">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9">
            <w:pPr>
              <w:spacing w:line="240" w:lineRule="auto"/>
              <w:rPr>
                <w:rFonts w:ascii="Calibri" w:cs="Calibri" w:eastAsia="Calibri" w:hAnsi="Calibri"/>
              </w:rPr>
            </w:pPr>
            <w:r w:rsidDel="00000000" w:rsidR="00000000" w:rsidRPr="00000000">
              <w:rPr>
                <w:rFonts w:ascii="Calibri" w:cs="Calibri" w:eastAsia="Calibri" w:hAnsi="Calibri"/>
                <w:rtl w:val="0"/>
              </w:rPr>
              <w:t xml:space="preserve">Kogukondlikud teenused: </w:t>
            </w:r>
          </w:p>
          <w:p w:rsidR="00000000" w:rsidDel="00000000" w:rsidP="00000000" w:rsidRDefault="00000000" w:rsidRPr="00000000" w14:paraId="0000001A">
            <w:pPr>
              <w:numPr>
                <w:ilvl w:val="0"/>
                <w:numId w:val="3"/>
              </w:numPr>
              <w:spacing w:line="240" w:lineRule="auto"/>
              <w:ind w:left="360" w:hanging="360"/>
              <w:rPr/>
            </w:pPr>
            <w:r w:rsidDel="00000000" w:rsidR="00000000" w:rsidRPr="00000000">
              <w:rPr>
                <w:rFonts w:ascii="Calibri" w:cs="Calibri" w:eastAsia="Calibri" w:hAnsi="Calibri"/>
                <w:rtl w:val="0"/>
              </w:rPr>
              <w:t xml:space="preserve">Haridus: lasteaed, alg- ja põhikool </w:t>
            </w:r>
            <w:r w:rsidDel="00000000" w:rsidR="00000000" w:rsidRPr="00000000">
              <w:rPr>
                <w:rtl w:val="0"/>
              </w:rPr>
            </w:r>
          </w:p>
          <w:p w:rsidR="00000000" w:rsidDel="00000000" w:rsidP="00000000" w:rsidRDefault="00000000" w:rsidRPr="00000000" w14:paraId="0000001B">
            <w:pPr>
              <w:numPr>
                <w:ilvl w:val="0"/>
                <w:numId w:val="3"/>
              </w:numPr>
              <w:spacing w:line="240" w:lineRule="auto"/>
              <w:ind w:left="360" w:hanging="360"/>
              <w:rPr/>
            </w:pPr>
            <w:r w:rsidDel="00000000" w:rsidR="00000000" w:rsidRPr="00000000">
              <w:rPr>
                <w:rFonts w:ascii="Calibri" w:cs="Calibri" w:eastAsia="Calibri" w:hAnsi="Calibri"/>
                <w:rtl w:val="0"/>
              </w:rPr>
              <w:t xml:space="preserve">Planeerimine (linnaplaneerimine), planeeringute juhtimine (detailplaneeringud) </w:t>
            </w:r>
            <w:r w:rsidDel="00000000" w:rsidR="00000000" w:rsidRPr="00000000">
              <w:rPr>
                <w:rtl w:val="0"/>
              </w:rPr>
            </w:r>
          </w:p>
          <w:p w:rsidR="00000000" w:rsidDel="00000000" w:rsidP="00000000" w:rsidRDefault="00000000" w:rsidRPr="00000000" w14:paraId="0000001C">
            <w:pPr>
              <w:numPr>
                <w:ilvl w:val="0"/>
                <w:numId w:val="3"/>
              </w:numPr>
              <w:spacing w:line="240" w:lineRule="auto"/>
              <w:ind w:left="360" w:hanging="360"/>
              <w:rPr/>
            </w:pPr>
            <w:r w:rsidDel="00000000" w:rsidR="00000000" w:rsidRPr="00000000">
              <w:rPr>
                <w:rFonts w:ascii="Calibri" w:cs="Calibri" w:eastAsia="Calibri" w:hAnsi="Calibri"/>
                <w:rtl w:val="0"/>
              </w:rPr>
              <w:t xml:space="preserve">Kommunaalteenused (vesi, soe, prügi)</w:t>
            </w:r>
            <w:r w:rsidDel="00000000" w:rsidR="00000000" w:rsidRPr="00000000">
              <w:rPr>
                <w:rtl w:val="0"/>
              </w:rPr>
            </w:r>
          </w:p>
          <w:p w:rsidR="00000000" w:rsidDel="00000000" w:rsidP="00000000" w:rsidRDefault="00000000" w:rsidRPr="00000000" w14:paraId="0000001D">
            <w:pPr>
              <w:numPr>
                <w:ilvl w:val="0"/>
                <w:numId w:val="3"/>
              </w:numPr>
              <w:spacing w:line="240" w:lineRule="auto"/>
              <w:ind w:left="360" w:hanging="360"/>
              <w:rPr/>
            </w:pPr>
            <w:r w:rsidDel="00000000" w:rsidR="00000000" w:rsidRPr="00000000">
              <w:rPr>
                <w:rFonts w:ascii="Calibri" w:cs="Calibri" w:eastAsia="Calibri" w:hAnsi="Calibri"/>
                <w:rtl w:val="0"/>
              </w:rPr>
              <w:t xml:space="preserve">Kohalikud teed</w:t>
            </w:r>
            <w:r w:rsidDel="00000000" w:rsidR="00000000" w:rsidRPr="00000000">
              <w:rPr>
                <w:rtl w:val="0"/>
              </w:rPr>
            </w:r>
          </w:p>
          <w:p w:rsidR="00000000" w:rsidDel="00000000" w:rsidP="00000000" w:rsidRDefault="00000000" w:rsidRPr="00000000" w14:paraId="0000001E">
            <w:pPr>
              <w:numPr>
                <w:ilvl w:val="0"/>
                <w:numId w:val="3"/>
              </w:numPr>
              <w:spacing w:line="240" w:lineRule="auto"/>
              <w:ind w:left="360" w:hanging="360"/>
              <w:rPr/>
            </w:pPr>
            <w:r w:rsidDel="00000000" w:rsidR="00000000" w:rsidRPr="00000000">
              <w:rPr>
                <w:rFonts w:ascii="Calibri" w:cs="Calibri" w:eastAsia="Calibri" w:hAnsi="Calibri"/>
                <w:rtl w:val="0"/>
              </w:rPr>
              <w:t xml:space="preserve">Linnatransport (teenustransport) </w:t>
            </w:r>
            <w:r w:rsidDel="00000000" w:rsidR="00000000" w:rsidRPr="00000000">
              <w:rPr>
                <w:rtl w:val="0"/>
              </w:rPr>
            </w:r>
          </w:p>
          <w:p w:rsidR="00000000" w:rsidDel="00000000" w:rsidP="00000000" w:rsidRDefault="00000000" w:rsidRPr="00000000" w14:paraId="0000001F">
            <w:pPr>
              <w:numPr>
                <w:ilvl w:val="0"/>
                <w:numId w:val="3"/>
              </w:numPr>
              <w:spacing w:line="240" w:lineRule="auto"/>
              <w:ind w:left="360" w:hanging="360"/>
              <w:rPr/>
            </w:pPr>
            <w:r w:rsidDel="00000000" w:rsidR="00000000" w:rsidRPr="00000000">
              <w:rPr>
                <w:rFonts w:ascii="Calibri" w:cs="Calibri" w:eastAsia="Calibri" w:hAnsi="Calibri"/>
                <w:rtl w:val="0"/>
              </w:rPr>
              <w:t xml:space="preserve">Sotsiaalkaitse: lapsed, pered, vanuri, puuetega, vaesus, teotused jt</w:t>
            </w:r>
            <w:r w:rsidDel="00000000" w:rsidR="00000000" w:rsidRPr="00000000">
              <w:rPr>
                <w:rtl w:val="0"/>
              </w:rPr>
            </w:r>
          </w:p>
          <w:p w:rsidR="00000000" w:rsidDel="00000000" w:rsidP="00000000" w:rsidRDefault="00000000" w:rsidRPr="00000000" w14:paraId="00000020">
            <w:pPr>
              <w:numPr>
                <w:ilvl w:val="0"/>
                <w:numId w:val="3"/>
              </w:numPr>
              <w:spacing w:line="240" w:lineRule="auto"/>
              <w:ind w:left="360" w:hanging="360"/>
              <w:rPr/>
            </w:pPr>
            <w:r w:rsidDel="00000000" w:rsidR="00000000" w:rsidRPr="00000000">
              <w:rPr>
                <w:rFonts w:ascii="Calibri" w:cs="Calibri" w:eastAsia="Calibri" w:hAnsi="Calibri"/>
                <w:rtl w:val="0"/>
              </w:rPr>
              <w:t xml:space="preserve">Esmatasanditervishoid, tervisekäitumine</w:t>
            </w:r>
            <w:r w:rsidDel="00000000" w:rsidR="00000000" w:rsidRPr="00000000">
              <w:rPr>
                <w:rtl w:val="0"/>
              </w:rPr>
            </w:r>
          </w:p>
          <w:p w:rsidR="00000000" w:rsidDel="00000000" w:rsidP="00000000" w:rsidRDefault="00000000" w:rsidRPr="00000000" w14:paraId="00000021">
            <w:pPr>
              <w:numPr>
                <w:ilvl w:val="0"/>
                <w:numId w:val="3"/>
              </w:numPr>
              <w:spacing w:line="240" w:lineRule="auto"/>
              <w:ind w:left="360" w:hanging="360"/>
              <w:rPr/>
            </w:pPr>
            <w:r w:rsidDel="00000000" w:rsidR="00000000" w:rsidRPr="00000000">
              <w:rPr>
                <w:rFonts w:ascii="Calibri" w:cs="Calibri" w:eastAsia="Calibri" w:hAnsi="Calibri"/>
                <w:rtl w:val="0"/>
              </w:rPr>
              <w:t xml:space="preserve">Kultuur ja rekreatsioon </w:t>
            </w:r>
            <w:r w:rsidDel="00000000" w:rsidR="00000000" w:rsidRPr="00000000">
              <w:rPr>
                <w:rtl w:val="0"/>
              </w:rPr>
            </w:r>
          </w:p>
          <w:p w:rsidR="00000000" w:rsidDel="00000000" w:rsidP="00000000" w:rsidRDefault="00000000" w:rsidRPr="00000000" w14:paraId="00000022">
            <w:pPr>
              <w:numPr>
                <w:ilvl w:val="0"/>
                <w:numId w:val="3"/>
              </w:numPr>
              <w:spacing w:line="240" w:lineRule="auto"/>
              <w:ind w:left="360" w:hanging="360"/>
              <w:rPr/>
            </w:pPr>
            <w:r w:rsidDel="00000000" w:rsidR="00000000" w:rsidRPr="00000000">
              <w:rPr>
                <w:rFonts w:ascii="Calibri" w:cs="Calibri" w:eastAsia="Calibri" w:hAnsi="Calibri"/>
                <w:rtl w:val="0"/>
              </w:rPr>
              <w:t xml:space="preserve">Avalik kord, kogukonna turvalisus (munitsipaalpolitsei, tuletõrjujad) </w:t>
            </w:r>
            <w:r w:rsidDel="00000000" w:rsidR="00000000" w:rsidRPr="00000000">
              <w:rPr>
                <w:rtl w:val="0"/>
              </w:rPr>
            </w:r>
          </w:p>
          <w:p w:rsidR="00000000" w:rsidDel="00000000" w:rsidP="00000000" w:rsidRDefault="00000000" w:rsidRPr="00000000" w14:paraId="00000023">
            <w:pPr>
              <w:numPr>
                <w:ilvl w:val="0"/>
                <w:numId w:val="3"/>
              </w:numPr>
              <w:spacing w:line="240" w:lineRule="auto"/>
              <w:ind w:left="360" w:hanging="360"/>
              <w:rPr/>
            </w:pPr>
            <w:r w:rsidDel="00000000" w:rsidR="00000000" w:rsidRPr="00000000">
              <w:rPr>
                <w:rFonts w:ascii="Calibri" w:cs="Calibri" w:eastAsia="Calibri" w:hAnsi="Calibri"/>
                <w:rtl w:val="0"/>
              </w:rPr>
              <w:t xml:space="preserve">Kohalik majanduskeskkond (turism, kohaturundus) </w:t>
            </w:r>
            <w:r w:rsidDel="00000000" w:rsidR="00000000" w:rsidRPr="00000000">
              <w:rPr>
                <w:rtl w:val="0"/>
              </w:rPr>
            </w:r>
          </w:p>
          <w:p w:rsidR="00000000" w:rsidDel="00000000" w:rsidP="00000000" w:rsidRDefault="00000000" w:rsidRPr="00000000" w14:paraId="00000024">
            <w:pPr>
              <w:numPr>
                <w:ilvl w:val="0"/>
                <w:numId w:val="3"/>
              </w:numPr>
              <w:spacing w:line="240" w:lineRule="auto"/>
              <w:ind w:left="360" w:hanging="360"/>
              <w:rPr/>
            </w:pPr>
            <w:r w:rsidDel="00000000" w:rsidR="00000000" w:rsidRPr="00000000">
              <w:rPr>
                <w:rFonts w:ascii="Calibri" w:cs="Calibri" w:eastAsia="Calibri" w:hAnsi="Calibri"/>
                <w:rtl w:val="0"/>
              </w:rPr>
              <w:t xml:space="preserve">Keskkond: rohealad </w:t>
            </w:r>
            <w:r w:rsidDel="00000000" w:rsidR="00000000" w:rsidRPr="00000000">
              <w:rPr>
                <w:rtl w:val="0"/>
              </w:rPr>
            </w:r>
          </w:p>
          <w:p w:rsidR="00000000" w:rsidDel="00000000" w:rsidP="00000000" w:rsidRDefault="00000000" w:rsidRPr="00000000" w14:paraId="00000025">
            <w:pPr>
              <w:numPr>
                <w:ilvl w:val="0"/>
                <w:numId w:val="3"/>
              </w:numPr>
              <w:spacing w:line="240" w:lineRule="auto"/>
              <w:ind w:left="360" w:hanging="360"/>
              <w:rPr/>
            </w:pPr>
            <w:r w:rsidDel="00000000" w:rsidR="00000000" w:rsidRPr="00000000">
              <w:rPr>
                <w:rFonts w:ascii="Calibri" w:cs="Calibri" w:eastAsia="Calibri" w:hAnsi="Calibri"/>
                <w:rtl w:val="0"/>
              </w:rPr>
              <w:t xml:space="preserve">Sotsiaaleluruumid </w:t>
            </w:r>
            <w:r w:rsidDel="00000000" w:rsidR="00000000" w:rsidRPr="00000000">
              <w:rPr>
                <w:rtl w:val="0"/>
              </w:rPr>
            </w:r>
          </w:p>
          <w:p w:rsidR="00000000" w:rsidDel="00000000" w:rsidP="00000000" w:rsidRDefault="00000000" w:rsidRPr="00000000" w14:paraId="00000026">
            <w:pPr>
              <w:numPr>
                <w:ilvl w:val="0"/>
                <w:numId w:val="3"/>
              </w:numPr>
              <w:spacing w:line="240" w:lineRule="auto"/>
              <w:ind w:left="360" w:hanging="360"/>
              <w:rPr/>
            </w:pPr>
            <w:r w:rsidDel="00000000" w:rsidR="00000000" w:rsidRPr="00000000">
              <w:rPr>
                <w:rFonts w:ascii="Calibri" w:cs="Calibri" w:eastAsia="Calibri" w:hAnsi="Calibri"/>
                <w:rtl w:val="0"/>
              </w:rPr>
              <w:t xml:space="preserve">Admin.teenused, load jm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27">
            <w:pPr>
              <w:spacing w:line="240" w:lineRule="auto"/>
              <w:rPr>
                <w:rFonts w:ascii="Calibri" w:cs="Calibri" w:eastAsia="Calibri" w:hAnsi="Calibri"/>
              </w:rPr>
            </w:pPr>
            <w:r w:rsidDel="00000000" w:rsidR="00000000" w:rsidRPr="00000000">
              <w:rPr>
                <w:rFonts w:ascii="Calibri" w:cs="Calibri" w:eastAsia="Calibri" w:hAnsi="Calibri"/>
                <w:rtl w:val="0"/>
              </w:rPr>
              <w:t xml:space="preserve">Spetsialiseeritud ja suhteliselt piiratud hulk KOV ülesed (ühishuvi) ülesanded </w:t>
            </w:r>
          </w:p>
          <w:p w:rsidR="00000000" w:rsidDel="00000000" w:rsidP="00000000" w:rsidRDefault="00000000" w:rsidRPr="00000000" w14:paraId="00000028">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9">
            <w:pPr>
              <w:spacing w:line="240" w:lineRule="auto"/>
              <w:rPr>
                <w:rFonts w:ascii="Calibri" w:cs="Calibri" w:eastAsia="Calibri" w:hAnsi="Calibri"/>
              </w:rPr>
            </w:pPr>
            <w:r w:rsidDel="00000000" w:rsidR="00000000" w:rsidRPr="00000000">
              <w:rPr>
                <w:rFonts w:ascii="Calibri" w:cs="Calibri" w:eastAsia="Calibri" w:hAnsi="Calibri"/>
                <w:rtl w:val="0"/>
              </w:rPr>
              <w:t xml:space="preserve">Väikeste (vähevõimekate) KOVide abistamine </w:t>
            </w:r>
          </w:p>
          <w:p w:rsidR="00000000" w:rsidDel="00000000" w:rsidP="00000000" w:rsidRDefault="00000000" w:rsidRPr="00000000" w14:paraId="0000002A">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B">
            <w:pPr>
              <w:spacing w:line="240" w:lineRule="auto"/>
              <w:rPr>
                <w:rFonts w:ascii="Calibri" w:cs="Calibri" w:eastAsia="Calibri" w:hAnsi="Calibri"/>
              </w:rPr>
            </w:pPr>
            <w:r w:rsidDel="00000000" w:rsidR="00000000" w:rsidRPr="00000000">
              <w:rPr>
                <w:rFonts w:ascii="Calibri" w:cs="Calibri" w:eastAsia="Calibri" w:hAnsi="Calibri"/>
                <w:rtl w:val="0"/>
              </w:rPr>
              <w:t xml:space="preserve">Võivad olla ka kesk- ja regionaaltasandilt delegeeritud ülesanded</w:t>
            </w:r>
          </w:p>
          <w:p w:rsidR="00000000" w:rsidDel="00000000" w:rsidP="00000000" w:rsidRDefault="00000000" w:rsidRPr="00000000" w14:paraId="0000002C">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D">
            <w:pPr>
              <w:spacing w:line="240" w:lineRule="auto"/>
              <w:rPr>
                <w:rFonts w:ascii="Calibri" w:cs="Calibri" w:eastAsia="Calibri" w:hAnsi="Calibri"/>
              </w:rPr>
            </w:pPr>
            <w:r w:rsidDel="00000000" w:rsidR="00000000" w:rsidRPr="00000000">
              <w:rPr>
                <w:rFonts w:ascii="Calibri" w:cs="Calibri" w:eastAsia="Calibri" w:hAnsi="Calibri"/>
                <w:rtl w:val="0"/>
              </w:rPr>
              <w:t xml:space="preserve">Geograafilistest oludest ja funktsionaalsest skoobis tulenevad teenused/ ülesanded: </w:t>
            </w:r>
          </w:p>
          <w:p w:rsidR="00000000" w:rsidDel="00000000" w:rsidP="00000000" w:rsidRDefault="00000000" w:rsidRPr="00000000" w14:paraId="0000002E">
            <w:pPr>
              <w:numPr>
                <w:ilvl w:val="0"/>
                <w:numId w:val="1"/>
              </w:numPr>
              <w:spacing w:line="240" w:lineRule="auto"/>
              <w:ind w:left="360" w:hanging="360"/>
              <w:rPr/>
            </w:pPr>
            <w:r w:rsidDel="00000000" w:rsidR="00000000" w:rsidRPr="00000000">
              <w:rPr>
                <w:rFonts w:ascii="Calibri" w:cs="Calibri" w:eastAsia="Calibri" w:hAnsi="Calibri"/>
                <w:rtl w:val="0"/>
              </w:rPr>
              <w:t xml:space="preserve">Keskharidus, kutseharidus </w:t>
            </w:r>
            <w:r w:rsidDel="00000000" w:rsidR="00000000" w:rsidRPr="00000000">
              <w:rPr>
                <w:rtl w:val="0"/>
              </w:rPr>
            </w:r>
          </w:p>
          <w:p w:rsidR="00000000" w:rsidDel="00000000" w:rsidP="00000000" w:rsidRDefault="00000000" w:rsidRPr="00000000" w14:paraId="0000002F">
            <w:pPr>
              <w:numPr>
                <w:ilvl w:val="0"/>
                <w:numId w:val="1"/>
              </w:numPr>
              <w:spacing w:line="240" w:lineRule="auto"/>
              <w:ind w:left="360" w:hanging="360"/>
              <w:rPr/>
            </w:pPr>
            <w:r w:rsidDel="00000000" w:rsidR="00000000" w:rsidRPr="00000000">
              <w:rPr>
                <w:rFonts w:ascii="Calibri" w:cs="Calibri" w:eastAsia="Calibri" w:hAnsi="Calibri"/>
                <w:rtl w:val="0"/>
              </w:rPr>
              <w:t xml:space="preserve">KOV ülene sotsiaal- ja noorsootöö </w:t>
            </w:r>
            <w:r w:rsidDel="00000000" w:rsidR="00000000" w:rsidRPr="00000000">
              <w:rPr>
                <w:rtl w:val="0"/>
              </w:rPr>
            </w:r>
          </w:p>
          <w:p w:rsidR="00000000" w:rsidDel="00000000" w:rsidP="00000000" w:rsidRDefault="00000000" w:rsidRPr="00000000" w14:paraId="00000030">
            <w:pPr>
              <w:numPr>
                <w:ilvl w:val="0"/>
                <w:numId w:val="1"/>
              </w:numPr>
              <w:spacing w:line="240" w:lineRule="auto"/>
              <w:ind w:left="360" w:hanging="360"/>
              <w:rPr/>
            </w:pPr>
            <w:r w:rsidDel="00000000" w:rsidR="00000000" w:rsidRPr="00000000">
              <w:rPr>
                <w:rFonts w:ascii="Calibri" w:cs="Calibri" w:eastAsia="Calibri" w:hAnsi="Calibri"/>
                <w:rtl w:val="0"/>
              </w:rPr>
              <w:t xml:space="preserve">Teise tasandi haiglad </w:t>
            </w:r>
            <w:r w:rsidDel="00000000" w:rsidR="00000000" w:rsidRPr="00000000">
              <w:rPr>
                <w:rtl w:val="0"/>
              </w:rPr>
            </w:r>
          </w:p>
          <w:p w:rsidR="00000000" w:rsidDel="00000000" w:rsidP="00000000" w:rsidRDefault="00000000" w:rsidRPr="00000000" w14:paraId="00000031">
            <w:pPr>
              <w:numPr>
                <w:ilvl w:val="0"/>
                <w:numId w:val="1"/>
              </w:numPr>
              <w:spacing w:line="240" w:lineRule="auto"/>
              <w:ind w:left="360" w:hanging="360"/>
              <w:rPr/>
            </w:pPr>
            <w:r w:rsidDel="00000000" w:rsidR="00000000" w:rsidRPr="00000000">
              <w:rPr>
                <w:rFonts w:ascii="Calibri" w:cs="Calibri" w:eastAsia="Calibri" w:hAnsi="Calibri"/>
                <w:rtl w:val="0"/>
              </w:rPr>
              <w:t xml:space="preserve">Jäätmekorraldus </w:t>
            </w:r>
            <w:r w:rsidDel="00000000" w:rsidR="00000000" w:rsidRPr="00000000">
              <w:rPr>
                <w:rtl w:val="0"/>
              </w:rPr>
            </w:r>
          </w:p>
          <w:p w:rsidR="00000000" w:rsidDel="00000000" w:rsidP="00000000" w:rsidRDefault="00000000" w:rsidRPr="00000000" w14:paraId="00000032">
            <w:pPr>
              <w:numPr>
                <w:ilvl w:val="0"/>
                <w:numId w:val="1"/>
              </w:numPr>
              <w:spacing w:line="240" w:lineRule="auto"/>
              <w:ind w:left="360" w:hanging="360"/>
              <w:rPr/>
            </w:pPr>
            <w:r w:rsidDel="00000000" w:rsidR="00000000" w:rsidRPr="00000000">
              <w:rPr>
                <w:rFonts w:ascii="Calibri" w:cs="Calibri" w:eastAsia="Calibri" w:hAnsi="Calibri"/>
                <w:rtl w:val="0"/>
              </w:rPr>
              <w:t xml:space="preserve">Kõrvalmaanteed</w:t>
            </w:r>
            <w:r w:rsidDel="00000000" w:rsidR="00000000" w:rsidRPr="00000000">
              <w:rPr>
                <w:rtl w:val="0"/>
              </w:rPr>
            </w:r>
          </w:p>
          <w:p w:rsidR="00000000" w:rsidDel="00000000" w:rsidP="00000000" w:rsidRDefault="00000000" w:rsidRPr="00000000" w14:paraId="00000033">
            <w:pPr>
              <w:numPr>
                <w:ilvl w:val="0"/>
                <w:numId w:val="1"/>
              </w:numPr>
              <w:spacing w:line="240" w:lineRule="auto"/>
              <w:ind w:left="360" w:hanging="360"/>
              <w:rPr/>
            </w:pPr>
            <w:r w:rsidDel="00000000" w:rsidR="00000000" w:rsidRPr="00000000">
              <w:rPr>
                <w:rFonts w:ascii="Calibri" w:cs="Calibri" w:eastAsia="Calibri" w:hAnsi="Calibri"/>
                <w:rtl w:val="0"/>
              </w:rPr>
              <w:t xml:space="preserve">Ühistransport </w:t>
            </w:r>
            <w:r w:rsidDel="00000000" w:rsidR="00000000" w:rsidRPr="00000000">
              <w:rPr>
                <w:rtl w:val="0"/>
              </w:rPr>
            </w:r>
          </w:p>
          <w:p w:rsidR="00000000" w:rsidDel="00000000" w:rsidP="00000000" w:rsidRDefault="00000000" w:rsidRPr="00000000" w14:paraId="00000034">
            <w:pPr>
              <w:numPr>
                <w:ilvl w:val="0"/>
                <w:numId w:val="1"/>
              </w:numPr>
              <w:spacing w:line="240" w:lineRule="auto"/>
              <w:ind w:left="360" w:hanging="360"/>
              <w:rPr/>
            </w:pPr>
            <w:r w:rsidDel="00000000" w:rsidR="00000000" w:rsidRPr="00000000">
              <w:rPr>
                <w:rFonts w:ascii="Calibri" w:cs="Calibri" w:eastAsia="Calibri" w:hAnsi="Calibri"/>
                <w:rtl w:val="0"/>
              </w:rPr>
              <w:t xml:space="preserve">Keskkond  </w:t>
            </w:r>
            <w:r w:rsidDel="00000000" w:rsidR="00000000" w:rsidRPr="00000000">
              <w:rPr>
                <w:rtl w:val="0"/>
              </w:rPr>
            </w:r>
          </w:p>
          <w:p w:rsidR="00000000" w:rsidDel="00000000" w:rsidP="00000000" w:rsidRDefault="00000000" w:rsidRPr="00000000" w14:paraId="00000035">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6">
            <w:pPr>
              <w:spacing w:line="240" w:lineRule="auto"/>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37">
            <w:pPr>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Suhteliselt suur ülesannete varieeruvus riigiti </w:t>
            </w:r>
          </w:p>
          <w:p w:rsidR="00000000" w:rsidDel="00000000" w:rsidP="00000000" w:rsidRDefault="00000000" w:rsidRPr="00000000" w14:paraId="00000038">
            <w:pPr>
              <w:spacing w:line="240"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039">
            <w:pPr>
              <w:spacing w:line="240" w:lineRule="auto"/>
              <w:rPr>
                <w:rFonts w:ascii="Calibri" w:cs="Calibri" w:eastAsia="Calibri" w:hAnsi="Calibri"/>
              </w:rPr>
            </w:pPr>
            <w:r w:rsidDel="00000000" w:rsidR="00000000" w:rsidRPr="00000000">
              <w:rPr>
                <w:rFonts w:ascii="Calibri" w:cs="Calibri" w:eastAsia="Calibri" w:hAnsi="Calibri"/>
                <w:rtl w:val="0"/>
              </w:rPr>
              <w:t xml:space="preserve">Regionaalsed (regionaalhuvi) teenused: </w:t>
            </w:r>
          </w:p>
          <w:p w:rsidR="00000000" w:rsidDel="00000000" w:rsidP="00000000" w:rsidRDefault="00000000" w:rsidRPr="00000000" w14:paraId="0000003A">
            <w:pPr>
              <w:numPr>
                <w:ilvl w:val="0"/>
                <w:numId w:val="2"/>
              </w:numPr>
              <w:spacing w:line="240" w:lineRule="auto"/>
              <w:ind w:left="360" w:hanging="360"/>
              <w:rPr/>
            </w:pPr>
            <w:r w:rsidDel="00000000" w:rsidR="00000000" w:rsidRPr="00000000">
              <w:rPr>
                <w:rFonts w:ascii="Calibri" w:cs="Calibri" w:eastAsia="Calibri" w:hAnsi="Calibri"/>
                <w:rtl w:val="0"/>
              </w:rPr>
              <w:t xml:space="preserve">Kesk/kutse ja kõrgharidus; täiskasvanukoolitus </w:t>
            </w:r>
            <w:r w:rsidDel="00000000" w:rsidR="00000000" w:rsidRPr="00000000">
              <w:rPr>
                <w:rtl w:val="0"/>
              </w:rPr>
            </w:r>
          </w:p>
          <w:p w:rsidR="00000000" w:rsidDel="00000000" w:rsidP="00000000" w:rsidRDefault="00000000" w:rsidRPr="00000000" w14:paraId="0000003B">
            <w:pPr>
              <w:numPr>
                <w:ilvl w:val="0"/>
                <w:numId w:val="2"/>
              </w:numPr>
              <w:spacing w:line="240" w:lineRule="auto"/>
              <w:ind w:left="360" w:hanging="360"/>
              <w:rPr/>
            </w:pPr>
            <w:r w:rsidDel="00000000" w:rsidR="00000000" w:rsidRPr="00000000">
              <w:rPr>
                <w:rFonts w:ascii="Calibri" w:cs="Calibri" w:eastAsia="Calibri" w:hAnsi="Calibri"/>
                <w:rtl w:val="0"/>
              </w:rPr>
              <w:t xml:space="preserve">Ruumiline planeerimine </w:t>
            </w:r>
            <w:r w:rsidDel="00000000" w:rsidR="00000000" w:rsidRPr="00000000">
              <w:rPr>
                <w:rtl w:val="0"/>
              </w:rPr>
            </w:r>
          </w:p>
          <w:p w:rsidR="00000000" w:rsidDel="00000000" w:rsidP="00000000" w:rsidRDefault="00000000" w:rsidRPr="00000000" w14:paraId="0000003C">
            <w:pPr>
              <w:numPr>
                <w:ilvl w:val="0"/>
                <w:numId w:val="2"/>
              </w:numPr>
              <w:spacing w:line="240" w:lineRule="auto"/>
              <w:ind w:left="360" w:hanging="360"/>
              <w:rPr/>
            </w:pPr>
            <w:r w:rsidDel="00000000" w:rsidR="00000000" w:rsidRPr="00000000">
              <w:rPr>
                <w:rFonts w:ascii="Calibri" w:cs="Calibri" w:eastAsia="Calibri" w:hAnsi="Calibri"/>
                <w:rtl w:val="0"/>
              </w:rPr>
              <w:t xml:space="preserve">Regionaalse majanduskeskkonna arendamine, innovatsioon </w:t>
            </w:r>
            <w:r w:rsidDel="00000000" w:rsidR="00000000" w:rsidRPr="00000000">
              <w:rPr>
                <w:rtl w:val="0"/>
              </w:rPr>
            </w:r>
          </w:p>
          <w:p w:rsidR="00000000" w:rsidDel="00000000" w:rsidP="00000000" w:rsidRDefault="00000000" w:rsidRPr="00000000" w14:paraId="0000003D">
            <w:pPr>
              <w:numPr>
                <w:ilvl w:val="0"/>
                <w:numId w:val="2"/>
              </w:numPr>
              <w:spacing w:line="240" w:lineRule="auto"/>
              <w:ind w:left="360" w:hanging="360"/>
              <w:rPr/>
            </w:pPr>
            <w:r w:rsidDel="00000000" w:rsidR="00000000" w:rsidRPr="00000000">
              <w:rPr>
                <w:rFonts w:ascii="Calibri" w:cs="Calibri" w:eastAsia="Calibri" w:hAnsi="Calibri"/>
                <w:rtl w:val="0"/>
              </w:rPr>
              <w:t xml:space="preserve">Tervishoid: haiglad, spetsialiseeritud raviteenused (hooldus) </w:t>
            </w:r>
            <w:r w:rsidDel="00000000" w:rsidR="00000000" w:rsidRPr="00000000">
              <w:rPr>
                <w:rtl w:val="0"/>
              </w:rPr>
            </w:r>
          </w:p>
          <w:p w:rsidR="00000000" w:rsidDel="00000000" w:rsidP="00000000" w:rsidRDefault="00000000" w:rsidRPr="00000000" w14:paraId="0000003E">
            <w:pPr>
              <w:numPr>
                <w:ilvl w:val="0"/>
                <w:numId w:val="2"/>
              </w:numPr>
              <w:spacing w:line="240" w:lineRule="auto"/>
              <w:ind w:left="360" w:hanging="360"/>
              <w:rPr/>
            </w:pPr>
            <w:r w:rsidDel="00000000" w:rsidR="00000000" w:rsidRPr="00000000">
              <w:rPr>
                <w:rFonts w:ascii="Calibri" w:cs="Calibri" w:eastAsia="Calibri" w:hAnsi="Calibri"/>
                <w:rtl w:val="0"/>
              </w:rPr>
              <w:t xml:space="preserve">Sotsiaalküsimused tooruruvõimekusega seonduvalt: töötud, koolitus, aktiveerimine </w:t>
            </w:r>
            <w:r w:rsidDel="00000000" w:rsidR="00000000" w:rsidRPr="00000000">
              <w:rPr>
                <w:rtl w:val="0"/>
              </w:rPr>
            </w:r>
          </w:p>
          <w:p w:rsidR="00000000" w:rsidDel="00000000" w:rsidP="00000000" w:rsidRDefault="00000000" w:rsidRPr="00000000" w14:paraId="0000003F">
            <w:pPr>
              <w:numPr>
                <w:ilvl w:val="0"/>
                <w:numId w:val="2"/>
              </w:numPr>
              <w:spacing w:line="240" w:lineRule="auto"/>
              <w:ind w:left="360" w:hanging="360"/>
              <w:rPr/>
            </w:pPr>
            <w:r w:rsidDel="00000000" w:rsidR="00000000" w:rsidRPr="00000000">
              <w:rPr>
                <w:rFonts w:ascii="Calibri" w:cs="Calibri" w:eastAsia="Calibri" w:hAnsi="Calibri"/>
                <w:rtl w:val="0"/>
              </w:rPr>
              <w:t xml:space="preserve">Regionaalsed teed</w:t>
            </w:r>
            <w:r w:rsidDel="00000000" w:rsidR="00000000" w:rsidRPr="00000000">
              <w:rPr>
                <w:rtl w:val="0"/>
              </w:rPr>
            </w:r>
          </w:p>
          <w:p w:rsidR="00000000" w:rsidDel="00000000" w:rsidP="00000000" w:rsidRDefault="00000000" w:rsidRPr="00000000" w14:paraId="00000040">
            <w:pPr>
              <w:numPr>
                <w:ilvl w:val="0"/>
                <w:numId w:val="2"/>
              </w:numPr>
              <w:spacing w:line="240" w:lineRule="auto"/>
              <w:ind w:left="360" w:hanging="360"/>
              <w:rPr/>
            </w:pPr>
            <w:r w:rsidDel="00000000" w:rsidR="00000000" w:rsidRPr="00000000">
              <w:rPr>
                <w:rFonts w:ascii="Calibri" w:cs="Calibri" w:eastAsia="Calibri" w:hAnsi="Calibri"/>
                <w:rtl w:val="0"/>
              </w:rPr>
              <w:t xml:space="preserve">Ühistransport </w:t>
            </w:r>
            <w:r w:rsidDel="00000000" w:rsidR="00000000" w:rsidRPr="00000000">
              <w:rPr>
                <w:rtl w:val="0"/>
              </w:rPr>
            </w:r>
          </w:p>
          <w:p w:rsidR="00000000" w:rsidDel="00000000" w:rsidP="00000000" w:rsidRDefault="00000000" w:rsidRPr="00000000" w14:paraId="00000041">
            <w:pPr>
              <w:numPr>
                <w:ilvl w:val="0"/>
                <w:numId w:val="2"/>
              </w:numPr>
              <w:spacing w:line="240" w:lineRule="auto"/>
              <w:ind w:left="360" w:hanging="360"/>
              <w:rPr/>
            </w:pPr>
            <w:r w:rsidDel="00000000" w:rsidR="00000000" w:rsidRPr="00000000">
              <w:rPr>
                <w:rFonts w:ascii="Calibri" w:cs="Calibri" w:eastAsia="Calibri" w:hAnsi="Calibri"/>
                <w:rtl w:val="0"/>
              </w:rPr>
              <w:t xml:space="preserve">Kultuur: muinsuskaitse, turism </w:t>
            </w:r>
            <w:r w:rsidDel="00000000" w:rsidR="00000000" w:rsidRPr="00000000">
              <w:rPr>
                <w:rtl w:val="0"/>
              </w:rPr>
            </w:r>
          </w:p>
          <w:p w:rsidR="00000000" w:rsidDel="00000000" w:rsidP="00000000" w:rsidRDefault="00000000" w:rsidRPr="00000000" w14:paraId="00000042">
            <w:pPr>
              <w:numPr>
                <w:ilvl w:val="0"/>
                <w:numId w:val="2"/>
              </w:numPr>
              <w:spacing w:line="240" w:lineRule="auto"/>
              <w:ind w:left="360" w:hanging="360"/>
              <w:rPr/>
            </w:pPr>
            <w:r w:rsidDel="00000000" w:rsidR="00000000" w:rsidRPr="00000000">
              <w:rPr>
                <w:rFonts w:ascii="Calibri" w:cs="Calibri" w:eastAsia="Calibri" w:hAnsi="Calibri"/>
                <w:rtl w:val="0"/>
              </w:rPr>
              <w:t xml:space="preserve">Keskkonnakaitse </w:t>
            </w:r>
            <w:r w:rsidDel="00000000" w:rsidR="00000000" w:rsidRPr="00000000">
              <w:rPr>
                <w:rtl w:val="0"/>
              </w:rPr>
            </w:r>
          </w:p>
          <w:p w:rsidR="00000000" w:rsidDel="00000000" w:rsidP="00000000" w:rsidRDefault="00000000" w:rsidRPr="00000000" w14:paraId="00000043">
            <w:pPr>
              <w:numPr>
                <w:ilvl w:val="0"/>
                <w:numId w:val="2"/>
              </w:numPr>
              <w:spacing w:line="240" w:lineRule="auto"/>
              <w:ind w:left="360" w:hanging="360"/>
              <w:rPr/>
            </w:pPr>
            <w:r w:rsidDel="00000000" w:rsidR="00000000" w:rsidRPr="00000000">
              <w:rPr>
                <w:rFonts w:ascii="Calibri" w:cs="Calibri" w:eastAsia="Calibri" w:hAnsi="Calibri"/>
                <w:rtl w:val="0"/>
              </w:rPr>
              <w:t xml:space="preserve">Sotsiaaleluruumid </w:t>
            </w:r>
            <w:r w:rsidDel="00000000" w:rsidR="00000000" w:rsidRPr="00000000">
              <w:rPr>
                <w:rtl w:val="0"/>
              </w:rPr>
            </w:r>
          </w:p>
          <w:p w:rsidR="00000000" w:rsidDel="00000000" w:rsidP="00000000" w:rsidRDefault="00000000" w:rsidRPr="00000000" w14:paraId="00000044">
            <w:pPr>
              <w:numPr>
                <w:ilvl w:val="0"/>
                <w:numId w:val="2"/>
              </w:numPr>
              <w:spacing w:line="240" w:lineRule="auto"/>
              <w:ind w:left="360" w:hanging="360"/>
              <w:rPr/>
            </w:pPr>
            <w:r w:rsidDel="00000000" w:rsidR="00000000" w:rsidRPr="00000000">
              <w:rPr>
                <w:rFonts w:ascii="Calibri" w:cs="Calibri" w:eastAsia="Calibri" w:hAnsi="Calibri"/>
                <w:rtl w:val="0"/>
              </w:rPr>
              <w:t xml:space="preserve">Avalik kord ja kogukonna turvalisus (regionaalne politsei, tsiviilkaitse) </w:t>
            </w:r>
            <w:r w:rsidDel="00000000" w:rsidR="00000000" w:rsidRPr="00000000">
              <w:rPr>
                <w:rtl w:val="0"/>
              </w:rPr>
            </w:r>
          </w:p>
          <w:p w:rsidR="00000000" w:rsidDel="00000000" w:rsidP="00000000" w:rsidRDefault="00000000" w:rsidRPr="00000000" w14:paraId="00000045">
            <w:pPr>
              <w:numPr>
                <w:ilvl w:val="0"/>
                <w:numId w:val="2"/>
              </w:numPr>
              <w:spacing w:line="240" w:lineRule="auto"/>
              <w:ind w:left="360" w:hanging="360"/>
              <w:rPr/>
            </w:pPr>
            <w:r w:rsidDel="00000000" w:rsidR="00000000" w:rsidRPr="00000000">
              <w:rPr>
                <w:rFonts w:ascii="Calibri" w:cs="Calibri" w:eastAsia="Calibri" w:hAnsi="Calibri"/>
                <w:rtl w:val="0"/>
              </w:rPr>
              <w:t xml:space="preserve">KOV järelevalve </w:t>
            </w:r>
            <w:r w:rsidDel="00000000" w:rsidR="00000000" w:rsidRPr="00000000">
              <w:rPr>
                <w:rtl w:val="0"/>
              </w:rPr>
            </w:r>
          </w:p>
          <w:p w:rsidR="00000000" w:rsidDel="00000000" w:rsidP="00000000" w:rsidRDefault="00000000" w:rsidRPr="00000000" w14:paraId="00000046">
            <w:pPr>
              <w:spacing w:line="240" w:lineRule="auto"/>
              <w:jc w:val="center"/>
              <w:rPr>
                <w:rFonts w:ascii="Calibri" w:cs="Calibri" w:eastAsia="Calibri" w:hAnsi="Calibri"/>
              </w:rPr>
            </w:pPr>
            <w:r w:rsidDel="00000000" w:rsidR="00000000" w:rsidRPr="00000000">
              <w:rPr>
                <w:rtl w:val="0"/>
              </w:rPr>
            </w:r>
          </w:p>
        </w:tc>
      </w:tr>
    </w:tbl>
    <w:p w:rsidR="00000000" w:rsidDel="00000000" w:rsidP="00000000" w:rsidRDefault="00000000" w:rsidRPr="00000000" w14:paraId="00000047">
      <w:pPr>
        <w:widowControl w:val="0"/>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Times New Roman"/>
  <w:font w:name="Calibri"/>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49">
      <w:pPr>
        <w:spacing w:after="160" w:line="259" w:lineRule="auto"/>
        <w:jc w:val="both"/>
        <w:rPr>
          <w:rFonts w:ascii="Times New Roman" w:cs="Times New Roman" w:eastAsia="Times New Roman" w:hAnsi="Times New Roman"/>
          <w:sz w:val="24"/>
          <w:szCs w:val="24"/>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4"/>
          <w:szCs w:val="24"/>
          <w:rtl w:val="0"/>
        </w:rPr>
        <w:t xml:space="preserve"> Allikas: OECD, 2019, Making decentralisation at work</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Trebuchet MS" w:cs="Trebuchet MS" w:eastAsia="Trebuchet MS" w:hAnsi="Trebuchet MS"/>
        <w:b w:val="0"/>
        <w:i w:val="0"/>
        <w:smallCaps w:val="0"/>
        <w:strike w:val="0"/>
        <w:shd w:fill="auto" w:val="clear"/>
        <w:vertAlign w:val="baseline"/>
      </w:rPr>
    </w:lvl>
    <w:lvl w:ilvl="1">
      <w:start w:val="1"/>
      <w:numFmt w:val="bullet"/>
      <w:lvlText w:val="o"/>
      <w:lvlJc w:val="left"/>
      <w:pPr>
        <w:ind w:left="1080" w:hanging="360"/>
      </w:pPr>
      <w:rPr>
        <w:rFonts w:ascii="Trebuchet MS" w:cs="Trebuchet MS" w:eastAsia="Trebuchet MS" w:hAnsi="Trebuchet MS"/>
        <w:b w:val="0"/>
        <w:i w:val="0"/>
        <w:smallCaps w:val="0"/>
        <w:strike w:val="0"/>
        <w:shd w:fill="auto" w:val="clear"/>
        <w:vertAlign w:val="baseline"/>
      </w:rPr>
    </w:lvl>
    <w:lvl w:ilvl="2">
      <w:start w:val="1"/>
      <w:numFmt w:val="bullet"/>
      <w:lvlText w:val="▪"/>
      <w:lvlJc w:val="left"/>
      <w:pPr>
        <w:ind w:left="1800" w:hanging="360"/>
      </w:pPr>
      <w:rPr>
        <w:rFonts w:ascii="Trebuchet MS" w:cs="Trebuchet MS" w:eastAsia="Trebuchet MS" w:hAnsi="Trebuchet MS"/>
        <w:b w:val="0"/>
        <w:i w:val="0"/>
        <w:smallCaps w:val="0"/>
        <w:strike w:val="0"/>
        <w:shd w:fill="auto" w:val="clear"/>
        <w:vertAlign w:val="baseline"/>
      </w:rPr>
    </w:lvl>
    <w:lvl w:ilvl="3">
      <w:start w:val="1"/>
      <w:numFmt w:val="bullet"/>
      <w:lvlText w:val="•"/>
      <w:lvlJc w:val="left"/>
      <w:pPr>
        <w:ind w:left="2520" w:hanging="360"/>
      </w:pPr>
      <w:rPr>
        <w:rFonts w:ascii="Trebuchet MS" w:cs="Trebuchet MS" w:eastAsia="Trebuchet MS" w:hAnsi="Trebuchet MS"/>
        <w:b w:val="0"/>
        <w:i w:val="0"/>
        <w:smallCaps w:val="0"/>
        <w:strike w:val="0"/>
        <w:shd w:fill="auto" w:val="clear"/>
        <w:vertAlign w:val="baseline"/>
      </w:rPr>
    </w:lvl>
    <w:lvl w:ilvl="4">
      <w:start w:val="1"/>
      <w:numFmt w:val="bullet"/>
      <w:lvlText w:val="o"/>
      <w:lvlJc w:val="left"/>
      <w:pPr>
        <w:ind w:left="3240" w:hanging="360"/>
      </w:pPr>
      <w:rPr>
        <w:rFonts w:ascii="Trebuchet MS" w:cs="Trebuchet MS" w:eastAsia="Trebuchet MS" w:hAnsi="Trebuchet MS"/>
        <w:b w:val="0"/>
        <w:i w:val="0"/>
        <w:smallCaps w:val="0"/>
        <w:strike w:val="0"/>
        <w:shd w:fill="auto" w:val="clear"/>
        <w:vertAlign w:val="baseline"/>
      </w:rPr>
    </w:lvl>
    <w:lvl w:ilvl="5">
      <w:start w:val="1"/>
      <w:numFmt w:val="bullet"/>
      <w:lvlText w:val="▪"/>
      <w:lvlJc w:val="left"/>
      <w:pPr>
        <w:ind w:left="3960" w:hanging="360"/>
      </w:pPr>
      <w:rPr>
        <w:rFonts w:ascii="Trebuchet MS" w:cs="Trebuchet MS" w:eastAsia="Trebuchet MS" w:hAnsi="Trebuchet MS"/>
        <w:b w:val="0"/>
        <w:i w:val="0"/>
        <w:smallCaps w:val="0"/>
        <w:strike w:val="0"/>
        <w:shd w:fill="auto" w:val="clear"/>
        <w:vertAlign w:val="baseline"/>
      </w:rPr>
    </w:lvl>
    <w:lvl w:ilvl="6">
      <w:start w:val="1"/>
      <w:numFmt w:val="bullet"/>
      <w:lvlText w:val="•"/>
      <w:lvlJc w:val="left"/>
      <w:pPr>
        <w:ind w:left="4680" w:hanging="360"/>
      </w:pPr>
      <w:rPr>
        <w:rFonts w:ascii="Trebuchet MS" w:cs="Trebuchet MS" w:eastAsia="Trebuchet MS" w:hAnsi="Trebuchet MS"/>
        <w:b w:val="0"/>
        <w:i w:val="0"/>
        <w:smallCaps w:val="0"/>
        <w:strike w:val="0"/>
        <w:shd w:fill="auto" w:val="clear"/>
        <w:vertAlign w:val="baseline"/>
      </w:rPr>
    </w:lvl>
    <w:lvl w:ilvl="7">
      <w:start w:val="1"/>
      <w:numFmt w:val="bullet"/>
      <w:lvlText w:val="o"/>
      <w:lvlJc w:val="left"/>
      <w:pPr>
        <w:ind w:left="5400" w:hanging="360"/>
      </w:pPr>
      <w:rPr>
        <w:rFonts w:ascii="Trebuchet MS" w:cs="Trebuchet MS" w:eastAsia="Trebuchet MS" w:hAnsi="Trebuchet MS"/>
        <w:b w:val="0"/>
        <w:i w:val="0"/>
        <w:smallCaps w:val="0"/>
        <w:strike w:val="0"/>
        <w:shd w:fill="auto" w:val="clear"/>
        <w:vertAlign w:val="baseline"/>
      </w:rPr>
    </w:lvl>
    <w:lvl w:ilvl="8">
      <w:start w:val="1"/>
      <w:numFmt w:val="bullet"/>
      <w:lvlText w:val="▪"/>
      <w:lvlJc w:val="left"/>
      <w:pPr>
        <w:ind w:left="6120" w:hanging="360"/>
      </w:pPr>
      <w:rPr>
        <w:rFonts w:ascii="Trebuchet MS" w:cs="Trebuchet MS" w:eastAsia="Trebuchet MS" w:hAnsi="Trebuchet MS"/>
        <w:b w:val="0"/>
        <w:i w:val="0"/>
        <w:smallCaps w:val="0"/>
        <w:strike w:val="0"/>
        <w:shd w:fill="auto" w:val="clear"/>
        <w:vertAlign w:val="baseline"/>
      </w:rPr>
    </w:lvl>
  </w:abstractNum>
  <w:abstractNum w:abstractNumId="2">
    <w:lvl w:ilvl="0">
      <w:start w:val="1"/>
      <w:numFmt w:val="bullet"/>
      <w:lvlText w:val="-"/>
      <w:lvlJc w:val="left"/>
      <w:pPr>
        <w:ind w:left="360" w:hanging="360"/>
      </w:pPr>
      <w:rPr>
        <w:rFonts w:ascii="Trebuchet MS" w:cs="Trebuchet MS" w:eastAsia="Trebuchet MS" w:hAnsi="Trebuchet MS"/>
        <w:b w:val="0"/>
        <w:i w:val="0"/>
        <w:smallCaps w:val="0"/>
        <w:strike w:val="0"/>
        <w:shd w:fill="auto" w:val="clear"/>
        <w:vertAlign w:val="baseline"/>
      </w:rPr>
    </w:lvl>
    <w:lvl w:ilvl="1">
      <w:start w:val="1"/>
      <w:numFmt w:val="bullet"/>
      <w:lvlText w:val="o"/>
      <w:lvlJc w:val="left"/>
      <w:pPr>
        <w:ind w:left="1080" w:hanging="360"/>
      </w:pPr>
      <w:rPr>
        <w:rFonts w:ascii="Trebuchet MS" w:cs="Trebuchet MS" w:eastAsia="Trebuchet MS" w:hAnsi="Trebuchet MS"/>
        <w:b w:val="0"/>
        <w:i w:val="0"/>
        <w:smallCaps w:val="0"/>
        <w:strike w:val="0"/>
        <w:shd w:fill="auto" w:val="clear"/>
        <w:vertAlign w:val="baseline"/>
      </w:rPr>
    </w:lvl>
    <w:lvl w:ilvl="2">
      <w:start w:val="1"/>
      <w:numFmt w:val="bullet"/>
      <w:lvlText w:val="▪"/>
      <w:lvlJc w:val="left"/>
      <w:pPr>
        <w:ind w:left="1800" w:hanging="360"/>
      </w:pPr>
      <w:rPr>
        <w:rFonts w:ascii="Trebuchet MS" w:cs="Trebuchet MS" w:eastAsia="Trebuchet MS" w:hAnsi="Trebuchet MS"/>
        <w:b w:val="0"/>
        <w:i w:val="0"/>
        <w:smallCaps w:val="0"/>
        <w:strike w:val="0"/>
        <w:shd w:fill="auto" w:val="clear"/>
        <w:vertAlign w:val="baseline"/>
      </w:rPr>
    </w:lvl>
    <w:lvl w:ilvl="3">
      <w:start w:val="1"/>
      <w:numFmt w:val="bullet"/>
      <w:lvlText w:val="•"/>
      <w:lvlJc w:val="left"/>
      <w:pPr>
        <w:ind w:left="2520" w:hanging="360"/>
      </w:pPr>
      <w:rPr>
        <w:rFonts w:ascii="Trebuchet MS" w:cs="Trebuchet MS" w:eastAsia="Trebuchet MS" w:hAnsi="Trebuchet MS"/>
        <w:b w:val="0"/>
        <w:i w:val="0"/>
        <w:smallCaps w:val="0"/>
        <w:strike w:val="0"/>
        <w:shd w:fill="auto" w:val="clear"/>
        <w:vertAlign w:val="baseline"/>
      </w:rPr>
    </w:lvl>
    <w:lvl w:ilvl="4">
      <w:start w:val="1"/>
      <w:numFmt w:val="bullet"/>
      <w:lvlText w:val="o"/>
      <w:lvlJc w:val="left"/>
      <w:pPr>
        <w:ind w:left="3240" w:hanging="360"/>
      </w:pPr>
      <w:rPr>
        <w:rFonts w:ascii="Trebuchet MS" w:cs="Trebuchet MS" w:eastAsia="Trebuchet MS" w:hAnsi="Trebuchet MS"/>
        <w:b w:val="0"/>
        <w:i w:val="0"/>
        <w:smallCaps w:val="0"/>
        <w:strike w:val="0"/>
        <w:shd w:fill="auto" w:val="clear"/>
        <w:vertAlign w:val="baseline"/>
      </w:rPr>
    </w:lvl>
    <w:lvl w:ilvl="5">
      <w:start w:val="1"/>
      <w:numFmt w:val="bullet"/>
      <w:lvlText w:val="▪"/>
      <w:lvlJc w:val="left"/>
      <w:pPr>
        <w:ind w:left="3960" w:hanging="360"/>
      </w:pPr>
      <w:rPr>
        <w:rFonts w:ascii="Trebuchet MS" w:cs="Trebuchet MS" w:eastAsia="Trebuchet MS" w:hAnsi="Trebuchet MS"/>
        <w:b w:val="0"/>
        <w:i w:val="0"/>
        <w:smallCaps w:val="0"/>
        <w:strike w:val="0"/>
        <w:shd w:fill="auto" w:val="clear"/>
        <w:vertAlign w:val="baseline"/>
      </w:rPr>
    </w:lvl>
    <w:lvl w:ilvl="6">
      <w:start w:val="1"/>
      <w:numFmt w:val="bullet"/>
      <w:lvlText w:val="•"/>
      <w:lvlJc w:val="left"/>
      <w:pPr>
        <w:ind w:left="4680" w:hanging="360"/>
      </w:pPr>
      <w:rPr>
        <w:rFonts w:ascii="Trebuchet MS" w:cs="Trebuchet MS" w:eastAsia="Trebuchet MS" w:hAnsi="Trebuchet MS"/>
        <w:b w:val="0"/>
        <w:i w:val="0"/>
        <w:smallCaps w:val="0"/>
        <w:strike w:val="0"/>
        <w:shd w:fill="auto" w:val="clear"/>
        <w:vertAlign w:val="baseline"/>
      </w:rPr>
    </w:lvl>
    <w:lvl w:ilvl="7">
      <w:start w:val="1"/>
      <w:numFmt w:val="bullet"/>
      <w:lvlText w:val="o"/>
      <w:lvlJc w:val="left"/>
      <w:pPr>
        <w:ind w:left="5400" w:hanging="360"/>
      </w:pPr>
      <w:rPr>
        <w:rFonts w:ascii="Trebuchet MS" w:cs="Trebuchet MS" w:eastAsia="Trebuchet MS" w:hAnsi="Trebuchet MS"/>
        <w:b w:val="0"/>
        <w:i w:val="0"/>
        <w:smallCaps w:val="0"/>
        <w:strike w:val="0"/>
        <w:shd w:fill="auto" w:val="clear"/>
        <w:vertAlign w:val="baseline"/>
      </w:rPr>
    </w:lvl>
    <w:lvl w:ilvl="8">
      <w:start w:val="1"/>
      <w:numFmt w:val="bullet"/>
      <w:lvlText w:val="▪"/>
      <w:lvlJc w:val="left"/>
      <w:pPr>
        <w:ind w:left="6120" w:hanging="360"/>
      </w:pPr>
      <w:rPr>
        <w:rFonts w:ascii="Trebuchet MS" w:cs="Trebuchet MS" w:eastAsia="Trebuchet MS" w:hAnsi="Trebuchet MS"/>
        <w:b w:val="0"/>
        <w:i w:val="0"/>
        <w:smallCaps w:val="0"/>
        <w:strike w:val="0"/>
        <w:shd w:fill="auto" w:val="clear"/>
        <w:vertAlign w:val="baseline"/>
      </w:rPr>
    </w:lvl>
  </w:abstractNum>
  <w:abstractNum w:abstractNumId="3">
    <w:lvl w:ilvl="0">
      <w:start w:val="1"/>
      <w:numFmt w:val="bullet"/>
      <w:lvlText w:val="-"/>
      <w:lvlJc w:val="left"/>
      <w:pPr>
        <w:ind w:left="360" w:hanging="360"/>
      </w:pPr>
      <w:rPr>
        <w:rFonts w:ascii="Trebuchet MS" w:cs="Trebuchet MS" w:eastAsia="Trebuchet MS" w:hAnsi="Trebuchet MS"/>
        <w:b w:val="0"/>
        <w:i w:val="0"/>
        <w:smallCaps w:val="0"/>
        <w:strike w:val="0"/>
        <w:shd w:fill="auto" w:val="clear"/>
        <w:vertAlign w:val="baseline"/>
      </w:rPr>
    </w:lvl>
    <w:lvl w:ilvl="1">
      <w:start w:val="1"/>
      <w:numFmt w:val="bullet"/>
      <w:lvlText w:val="o"/>
      <w:lvlJc w:val="left"/>
      <w:pPr>
        <w:ind w:left="1080" w:hanging="360"/>
      </w:pPr>
      <w:rPr>
        <w:rFonts w:ascii="Trebuchet MS" w:cs="Trebuchet MS" w:eastAsia="Trebuchet MS" w:hAnsi="Trebuchet MS"/>
        <w:b w:val="0"/>
        <w:i w:val="0"/>
        <w:smallCaps w:val="0"/>
        <w:strike w:val="0"/>
        <w:shd w:fill="auto" w:val="clear"/>
        <w:vertAlign w:val="baseline"/>
      </w:rPr>
    </w:lvl>
    <w:lvl w:ilvl="2">
      <w:start w:val="1"/>
      <w:numFmt w:val="bullet"/>
      <w:lvlText w:val="▪"/>
      <w:lvlJc w:val="left"/>
      <w:pPr>
        <w:ind w:left="1800" w:hanging="360"/>
      </w:pPr>
      <w:rPr>
        <w:rFonts w:ascii="Trebuchet MS" w:cs="Trebuchet MS" w:eastAsia="Trebuchet MS" w:hAnsi="Trebuchet MS"/>
        <w:b w:val="0"/>
        <w:i w:val="0"/>
        <w:smallCaps w:val="0"/>
        <w:strike w:val="0"/>
        <w:shd w:fill="auto" w:val="clear"/>
        <w:vertAlign w:val="baseline"/>
      </w:rPr>
    </w:lvl>
    <w:lvl w:ilvl="3">
      <w:start w:val="1"/>
      <w:numFmt w:val="bullet"/>
      <w:lvlText w:val="•"/>
      <w:lvlJc w:val="left"/>
      <w:pPr>
        <w:ind w:left="2520" w:hanging="360"/>
      </w:pPr>
      <w:rPr>
        <w:rFonts w:ascii="Trebuchet MS" w:cs="Trebuchet MS" w:eastAsia="Trebuchet MS" w:hAnsi="Trebuchet MS"/>
        <w:b w:val="0"/>
        <w:i w:val="0"/>
        <w:smallCaps w:val="0"/>
        <w:strike w:val="0"/>
        <w:shd w:fill="auto" w:val="clear"/>
        <w:vertAlign w:val="baseline"/>
      </w:rPr>
    </w:lvl>
    <w:lvl w:ilvl="4">
      <w:start w:val="1"/>
      <w:numFmt w:val="bullet"/>
      <w:lvlText w:val="o"/>
      <w:lvlJc w:val="left"/>
      <w:pPr>
        <w:ind w:left="3240" w:hanging="360"/>
      </w:pPr>
      <w:rPr>
        <w:rFonts w:ascii="Trebuchet MS" w:cs="Trebuchet MS" w:eastAsia="Trebuchet MS" w:hAnsi="Trebuchet MS"/>
        <w:b w:val="0"/>
        <w:i w:val="0"/>
        <w:smallCaps w:val="0"/>
        <w:strike w:val="0"/>
        <w:shd w:fill="auto" w:val="clear"/>
        <w:vertAlign w:val="baseline"/>
      </w:rPr>
    </w:lvl>
    <w:lvl w:ilvl="5">
      <w:start w:val="1"/>
      <w:numFmt w:val="bullet"/>
      <w:lvlText w:val="▪"/>
      <w:lvlJc w:val="left"/>
      <w:pPr>
        <w:ind w:left="3960" w:hanging="360"/>
      </w:pPr>
      <w:rPr>
        <w:rFonts w:ascii="Trebuchet MS" w:cs="Trebuchet MS" w:eastAsia="Trebuchet MS" w:hAnsi="Trebuchet MS"/>
        <w:b w:val="0"/>
        <w:i w:val="0"/>
        <w:smallCaps w:val="0"/>
        <w:strike w:val="0"/>
        <w:shd w:fill="auto" w:val="clear"/>
        <w:vertAlign w:val="baseline"/>
      </w:rPr>
    </w:lvl>
    <w:lvl w:ilvl="6">
      <w:start w:val="1"/>
      <w:numFmt w:val="bullet"/>
      <w:lvlText w:val="•"/>
      <w:lvlJc w:val="left"/>
      <w:pPr>
        <w:ind w:left="4680" w:hanging="360"/>
      </w:pPr>
      <w:rPr>
        <w:rFonts w:ascii="Trebuchet MS" w:cs="Trebuchet MS" w:eastAsia="Trebuchet MS" w:hAnsi="Trebuchet MS"/>
        <w:b w:val="0"/>
        <w:i w:val="0"/>
        <w:smallCaps w:val="0"/>
        <w:strike w:val="0"/>
        <w:shd w:fill="auto" w:val="clear"/>
        <w:vertAlign w:val="baseline"/>
      </w:rPr>
    </w:lvl>
    <w:lvl w:ilvl="7">
      <w:start w:val="1"/>
      <w:numFmt w:val="bullet"/>
      <w:lvlText w:val="o"/>
      <w:lvlJc w:val="left"/>
      <w:pPr>
        <w:ind w:left="5400" w:hanging="360"/>
      </w:pPr>
      <w:rPr>
        <w:rFonts w:ascii="Trebuchet MS" w:cs="Trebuchet MS" w:eastAsia="Trebuchet MS" w:hAnsi="Trebuchet MS"/>
        <w:b w:val="0"/>
        <w:i w:val="0"/>
        <w:smallCaps w:val="0"/>
        <w:strike w:val="0"/>
        <w:shd w:fill="auto" w:val="clear"/>
        <w:vertAlign w:val="baseline"/>
      </w:rPr>
    </w:lvl>
    <w:lvl w:ilvl="8">
      <w:start w:val="1"/>
      <w:numFmt w:val="bullet"/>
      <w:lvlText w:val="▪"/>
      <w:lvlJc w:val="left"/>
      <w:pPr>
        <w:ind w:left="6120" w:hanging="360"/>
      </w:pPr>
      <w:rPr>
        <w:rFonts w:ascii="Trebuchet MS" w:cs="Trebuchet MS" w:eastAsia="Trebuchet MS" w:hAnsi="Trebuchet MS"/>
        <w:b w:val="0"/>
        <w:i w:val="0"/>
        <w:smallCaps w:val="0"/>
        <w:strike w:val="0"/>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1.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YWiGI/OCV9aQJXnUMllBuQ2vFg==">AMUW2mV7RTJbCWm0vKw4yVArwIC9/WeoCqDcEtwdvkj/tIK8R5P2fLXmhzsLtTjysWwf3TvTAZd9Z6KdDcqCxiNrOjYa+BeFNbDN1+WyvGcCsZHB9/ELpa/Cnnc4vIzx8ooBVieo+Yn4tNyLCl/8dmlquvMd4k8OCg==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