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240" w:line="259" w:lineRule="auto"/>
        <w:ind w:left="0" w:firstLine="0"/>
        <w:rPr>
          <w:rFonts w:ascii="Calibri" w:cs="Calibri" w:eastAsia="Calibri" w:hAnsi="Calibri"/>
          <w:b w:val="1"/>
          <w:color w:val="2e75b5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2e75b5"/>
          <w:sz w:val="22"/>
          <w:szCs w:val="22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4485600</wp:posOffset>
            </wp:positionH>
            <wp:positionV relativeFrom="margin">
              <wp:posOffset>-554399</wp:posOffset>
            </wp:positionV>
            <wp:extent cx="1691648" cy="899461"/>
            <wp:effectExtent b="0" l="0" r="0" t="0"/>
            <wp:wrapSquare wrapText="bothSides" distB="114300" distT="114300" distL="114300" distR="11430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91648" cy="89946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b w:val="1"/>
          <w:color w:val="2e75b5"/>
          <w:sz w:val="22"/>
          <w:szCs w:val="22"/>
          <w:rtl w:val="0"/>
        </w:rPr>
        <w:t xml:space="preserve">2</w:t>
        <w:tab/>
        <w:t xml:space="preserve">Valdkondlik ühtsus regionaalse tasandi ülesannete täitmisel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Kirjaliku hindamise koondtulemused</w:t>
      </w:r>
    </w:p>
    <w:tbl>
      <w:tblPr>
        <w:tblStyle w:val="Table1"/>
        <w:tblW w:w="8820.0" w:type="dxa"/>
        <w:jc w:val="left"/>
        <w:tblInd w:w="0.0" w:type="dxa"/>
        <w:tblLayout w:type="fixed"/>
        <w:tblLook w:val="0400"/>
      </w:tblPr>
      <w:tblGrid>
        <w:gridCol w:w="4820"/>
        <w:gridCol w:w="1300"/>
        <w:gridCol w:w="1440"/>
        <w:gridCol w:w="1260"/>
        <w:tblGridChange w:id="0">
          <w:tblGrid>
            <w:gridCol w:w="4820"/>
            <w:gridCol w:w="1300"/>
            <w:gridCol w:w="1440"/>
            <w:gridCol w:w="1260"/>
          </w:tblGrid>
        </w:tblGridChange>
      </w:tblGrid>
      <w:tr>
        <w:trPr>
          <w:trHeight w:val="79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Valikud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Oluline positiivne mõju (n=43)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Oluline negatiivne mõju (n=43)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Kindlasti mitte teostatav (n=18)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A.       Ühine valitsemis- või koostööorganisatsioon kõigi või enamuse valdkondade ülesannete täitmiseks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efce" w:val="clear"/>
          </w:tcPr>
          <w:p w:rsidR="00000000" w:rsidDel="00000000" w:rsidP="00000000" w:rsidRDefault="00000000" w:rsidRPr="00000000" w14:paraId="00000009">
            <w:pPr>
              <w:spacing w:line="240" w:lineRule="auto"/>
              <w:jc w:val="right"/>
              <w:rPr>
                <w:rFonts w:ascii="Calibri" w:cs="Calibri" w:eastAsia="Calibri" w:hAnsi="Calibri"/>
                <w:color w:val="0061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6100"/>
                <w:sz w:val="20"/>
                <w:szCs w:val="20"/>
                <w:rtl w:val="0"/>
              </w:rPr>
              <w:t xml:space="preserve">74%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5%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7ce" w:val="clear"/>
          </w:tcPr>
          <w:p w:rsidR="00000000" w:rsidDel="00000000" w:rsidP="00000000" w:rsidRDefault="00000000" w:rsidRPr="00000000" w14:paraId="0000000B">
            <w:pPr>
              <w:spacing w:line="240" w:lineRule="auto"/>
              <w:jc w:val="right"/>
              <w:rPr>
                <w:rFonts w:ascii="Calibri" w:cs="Calibri" w:eastAsia="Calibri" w:hAnsi="Calibri"/>
                <w:color w:val="9c000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9c0006"/>
                <w:sz w:val="20"/>
                <w:szCs w:val="20"/>
                <w:rtl w:val="0"/>
              </w:rPr>
              <w:t xml:space="preserve">22%</w:t>
            </w:r>
          </w:p>
        </w:tc>
      </w:tr>
      <w:tr>
        <w:trPr>
          <w:trHeight w:val="52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B.        Erinevad valdkondlikud valitsemis- või koostööorganisatsioonid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12%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7ce" w:val="clear"/>
          </w:tcPr>
          <w:p w:rsidR="00000000" w:rsidDel="00000000" w:rsidP="00000000" w:rsidRDefault="00000000" w:rsidRPr="00000000" w14:paraId="0000000E">
            <w:pPr>
              <w:spacing w:line="240" w:lineRule="auto"/>
              <w:jc w:val="right"/>
              <w:rPr>
                <w:rFonts w:ascii="Calibri" w:cs="Calibri" w:eastAsia="Calibri" w:hAnsi="Calibri"/>
                <w:color w:val="9c000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9c0006"/>
                <w:sz w:val="20"/>
                <w:szCs w:val="20"/>
                <w:rtl w:val="0"/>
              </w:rPr>
              <w:t xml:space="preserve">42%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11%</w:t>
            </w:r>
          </w:p>
        </w:tc>
      </w:tr>
      <w:tr>
        <w:trPr>
          <w:trHeight w:val="7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C.        Koordineeriva organisatsiooni ja valdkondlike organisatsioonide (või võrgustikulise koostöö) hierarhiline süsteem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37%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12%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6%</w:t>
            </w:r>
          </w:p>
        </w:tc>
      </w:tr>
    </w:tbl>
    <w:p w:rsidR="00000000" w:rsidDel="00000000" w:rsidP="00000000" w:rsidRDefault="00000000" w:rsidRPr="00000000" w14:paraId="00000014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Täiendavalt esitatud lahendused: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160" w:line="259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Regionaalne strateegiline ja universaalne juhtimis- ja koordinatsiooniüksus, mis toimib koostöös valdkondlike funktsionaalsete koostööpiirkondadega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Kirjaliku eksperthindamise alusel on selgelt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sobivaim lahendus valik A - ühine valitsemis- või koostööorganisatsioon kõigi või enamuse valdkondade ülesannete täitmiseks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Selle elluviimine oleks positiivsete mõjudega (eeskätt regioonide arenguvõimele, juhtimisorganite otsustusvõimele), kuid mõningaid probleeme nähakse teostatavuses.</w:t>
      </w:r>
    </w:p>
    <w:p w:rsidR="00000000" w:rsidDel="00000000" w:rsidP="00000000" w:rsidRDefault="00000000" w:rsidRPr="00000000" w14:paraId="00000019">
      <w:pPr>
        <w:pStyle w:val="Heading2"/>
        <w:numPr>
          <w:ilvl w:val="1"/>
          <w:numId w:val="2"/>
        </w:numPr>
        <w:spacing w:after="0" w:before="40" w:line="259" w:lineRule="auto"/>
        <w:ind w:left="576" w:hanging="576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Kas olete nõus, et ühine valitsemis- või koostööorganisatsioon kõigi või enamuse valdkondade ülesannete täitmiseks on parim lahendus regionaalse tasandi halduse jaoks? Miks? </w:t>
      </w:r>
    </w:p>
    <w:p w:rsidR="00000000" w:rsidDel="00000000" w:rsidP="00000000" w:rsidRDefault="00000000" w:rsidRPr="00000000" w14:paraId="0000001A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2"/>
        <w:numPr>
          <w:ilvl w:val="1"/>
          <w:numId w:val="2"/>
        </w:numPr>
        <w:spacing w:after="0" w:before="40" w:line="259" w:lineRule="auto"/>
        <w:ind w:left="576" w:hanging="576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Kui ei, siis milline oleks sobivam lahendus ja miks?</w:t>
      </w:r>
    </w:p>
    <w:p w:rsidR="00000000" w:rsidDel="00000000" w:rsidP="00000000" w:rsidRDefault="00000000" w:rsidRPr="00000000" w14:paraId="0000001C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 valdkonna – regionaalne ruumiplaneerimise,  ühistranspordi, kutse- ja gümnaasiumihariduse, sotsiaalhoolekande ning ettevõtluse edendamise – regionaalse halduse territoriaalsete tasandite võimalike mõjude ja teostatavuse kirjaliku hindamise esialgsete tulemuste üldistusena eristuvad 2 rühma – a) ruumiplaneerimine, ühistransport ning kutse- ja gümnaasiumiharidus, mille sobivaim regionaalne tasand oleks võimalike positiivsete mõjude alusel nö suurregioonides – riigi ja KOV ühiste ülesannetena, ning b) sotsiaalhoolekande spetsialiseeritumad teenused ja ettevõtluse edendamise teenused maakondades – KOV mastaabitundlike koostööülesannetena.</w:t>
      </w:r>
    </w:p>
    <w:p w:rsidR="00000000" w:rsidDel="00000000" w:rsidP="00000000" w:rsidRDefault="00000000" w:rsidRPr="00000000" w14:paraId="0000001E">
      <w:pPr>
        <w:pStyle w:val="Heading2"/>
        <w:numPr>
          <w:ilvl w:val="1"/>
          <w:numId w:val="2"/>
        </w:numPr>
        <w:spacing w:after="0" w:before="40" w:line="259" w:lineRule="auto"/>
        <w:ind w:left="576" w:hanging="576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Kas ja kuivõrd selline valdkondade jaotus riigi ja KOV koostöötasandi ning KOV maakondliku koostöötasandi vahel oleks kooskõlas regionaalse halduse valdkondliku ühtsuse põhimõttega?</w:t>
      </w:r>
    </w:p>
    <w:p w:rsidR="00000000" w:rsidDel="00000000" w:rsidP="00000000" w:rsidRDefault="00000000" w:rsidRPr="00000000" w14:paraId="0000001F">
      <w:pPr>
        <w:spacing w:after="160" w:line="259" w:lineRule="auto"/>
        <w:rPr>
          <w:rFonts w:ascii="Calibri" w:cs="Calibri" w:eastAsia="Calibri" w:hAnsi="Calibri"/>
          <w:b w:val="1"/>
          <w:color w:val="2e75b5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2"/>
        <w:numPr>
          <w:ilvl w:val="1"/>
          <w:numId w:val="2"/>
        </w:numPr>
        <w:spacing w:after="0" w:before="40" w:line="259" w:lineRule="auto"/>
        <w:ind w:left="576" w:hanging="576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 Milliste valdkondade puhul oleks (tungivalt) soovitatav tagada sama territoriaalne tasand valdkondade ühiseks regionaalse tasandi juhtimiseks? Millisel konkreetsel territoriaalsel tasandil on see saavutatav?</w:t>
      </w:r>
    </w:p>
    <w:p w:rsidR="00000000" w:rsidDel="00000000" w:rsidP="00000000" w:rsidRDefault="00000000" w:rsidRPr="00000000" w14:paraId="00000021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LISA. Valikute mõjud regionaalhalduse erinevatele aspektidele</w:t>
      </w:r>
    </w:p>
    <w:tbl>
      <w:tblPr>
        <w:tblStyle w:val="Table2"/>
        <w:tblW w:w="7980.0" w:type="dxa"/>
        <w:jc w:val="left"/>
        <w:tblInd w:w="0.0" w:type="dxa"/>
        <w:tblLayout w:type="fixed"/>
        <w:tblLook w:val="0400"/>
      </w:tblPr>
      <w:tblGrid>
        <w:gridCol w:w="2780"/>
        <w:gridCol w:w="960"/>
        <w:gridCol w:w="2320"/>
        <w:gridCol w:w="960"/>
        <w:gridCol w:w="960"/>
        <w:tblGridChange w:id="0">
          <w:tblGrid>
            <w:gridCol w:w="2780"/>
            <w:gridCol w:w="960"/>
            <w:gridCol w:w="2320"/>
            <w:gridCol w:w="960"/>
            <w:gridCol w:w="960"/>
          </w:tblGrid>
        </w:tblGridChange>
      </w:tblGrid>
      <w:tr>
        <w:trPr>
          <w:trHeight w:val="9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A.       Ühine valitsemis- või koostööorganisatsioon kõigi või enamuse valdkondade ülesannete täitmiseks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negatiivne mõju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4. demokraatia ja subsidiaarsus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63be7b" w:val="clear"/>
            <w:vAlign w:val="bottom"/>
          </w:tcPr>
          <w:p w:rsidR="00000000" w:rsidDel="00000000" w:rsidP="00000000" w:rsidRDefault="00000000" w:rsidRPr="00000000" w14:paraId="0000002C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D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2E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5. juhtimisorganite otsustusvõime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0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af5f0" w:val="clear"/>
            <w:vAlign w:val="bottom"/>
          </w:tcPr>
          <w:p w:rsidR="00000000" w:rsidDel="00000000" w:rsidP="00000000" w:rsidRDefault="00000000" w:rsidRPr="00000000" w14:paraId="00000031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71%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bc9cb" w:val="clear"/>
            <w:vAlign w:val="bottom"/>
          </w:tcPr>
          <w:p w:rsidR="00000000" w:rsidDel="00000000" w:rsidP="00000000" w:rsidRDefault="00000000" w:rsidRPr="00000000" w14:paraId="00000033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6%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6. haldussuutlikkus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5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36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67%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7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696b" w:val="clear"/>
            <w:vAlign w:val="bottom"/>
          </w:tcPr>
          <w:p w:rsidR="00000000" w:rsidDel="00000000" w:rsidP="00000000" w:rsidRDefault="00000000" w:rsidRPr="00000000" w14:paraId="00000038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17%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7. ökonoomsus ja kuluefektiivsus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A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6edde" w:val="clear"/>
            <w:vAlign w:val="bottom"/>
          </w:tcPr>
          <w:p w:rsidR="00000000" w:rsidDel="00000000" w:rsidP="00000000" w:rsidRDefault="00000000" w:rsidRPr="00000000" w14:paraId="0000003B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75%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C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3D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8. regioonide arenguvõime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F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de9d7" w:val="clear"/>
            <w:vAlign w:val="bottom"/>
          </w:tcPr>
          <w:p w:rsidR="00000000" w:rsidDel="00000000" w:rsidP="00000000" w:rsidRDefault="00000000" w:rsidRPr="00000000" w14:paraId="00000040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77%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1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42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9. piirkondlik identiteet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4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63be7b" w:val="clear"/>
            <w:vAlign w:val="bottom"/>
          </w:tcPr>
          <w:p w:rsidR="00000000" w:rsidDel="00000000" w:rsidP="00000000" w:rsidRDefault="00000000" w:rsidRPr="00000000" w14:paraId="00000045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6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Kokku</w:t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49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A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4B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C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B.        Erinevad valdkondlikud valitsemis- või koostööorganisatsioonid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negatiivne mõju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4. demokraatia ja subsidiaarsus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59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A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696b" w:val="clear"/>
            <w:vAlign w:val="bottom"/>
          </w:tcPr>
          <w:p w:rsidR="00000000" w:rsidDel="00000000" w:rsidP="00000000" w:rsidRDefault="00000000" w:rsidRPr="00000000" w14:paraId="0000005B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100%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C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5. juhtimisorganite otsustusvõime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D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8eee0" w:val="clear"/>
            <w:vAlign w:val="bottom"/>
          </w:tcPr>
          <w:p w:rsidR="00000000" w:rsidDel="00000000" w:rsidP="00000000" w:rsidRDefault="00000000" w:rsidRPr="00000000" w14:paraId="0000005E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12%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F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a6a8" w:val="clear"/>
            <w:vAlign w:val="bottom"/>
          </w:tcPr>
          <w:p w:rsidR="00000000" w:rsidDel="00000000" w:rsidP="00000000" w:rsidRDefault="00000000" w:rsidRPr="00000000" w14:paraId="00000060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59%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1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6. haldussuutlikkus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2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63be7b" w:val="clear"/>
            <w:vAlign w:val="bottom"/>
          </w:tcPr>
          <w:p w:rsidR="00000000" w:rsidDel="00000000" w:rsidP="00000000" w:rsidRDefault="00000000" w:rsidRPr="00000000" w14:paraId="00000063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4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65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7. ökonoomsus ja kuluefektiivsus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7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68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9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b3b5" w:val="clear"/>
            <w:vAlign w:val="bottom"/>
          </w:tcPr>
          <w:p w:rsidR="00000000" w:rsidDel="00000000" w:rsidP="00000000" w:rsidRDefault="00000000" w:rsidRPr="00000000" w14:paraId="0000006A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B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8. regioonide arenguvõime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C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6D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E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dbdd" w:val="clear"/>
            <w:vAlign w:val="bottom"/>
          </w:tcPr>
          <w:p w:rsidR="00000000" w:rsidDel="00000000" w:rsidP="00000000" w:rsidRDefault="00000000" w:rsidRPr="00000000" w14:paraId="0000006F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23%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0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9. piirkondlik identiteet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1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72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3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696b" w:val="clear"/>
            <w:vAlign w:val="bottom"/>
          </w:tcPr>
          <w:p w:rsidR="00000000" w:rsidDel="00000000" w:rsidP="00000000" w:rsidRDefault="00000000" w:rsidRPr="00000000" w14:paraId="00000074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100%</w:t>
            </w:r>
          </w:p>
        </w:tc>
      </w:tr>
      <w:tr>
        <w:trPr>
          <w:trHeight w:val="240" w:hRule="atLeast"/>
        </w:trPr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75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Kokku</w:t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76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7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78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9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B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C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D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E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trHeight w:val="12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7F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C.        Koordineeriva organisatsiooni ja valdkondlike organisatsioonide (või võrgustikulise koostöö) hierarhiline süsteem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80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81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82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83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negatiivne mõju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4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4. demokraatia ja subsidiaarsus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5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86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7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88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9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5. juhtimisorganite otsustusvõime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A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b9e1c5" w:val="clear"/>
            <w:vAlign w:val="bottom"/>
          </w:tcPr>
          <w:p w:rsidR="00000000" w:rsidDel="00000000" w:rsidP="00000000" w:rsidRDefault="00000000" w:rsidRPr="00000000" w14:paraId="0000008B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29%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C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bb7ba" w:val="clear"/>
            <w:vAlign w:val="bottom"/>
          </w:tcPr>
          <w:p w:rsidR="00000000" w:rsidDel="00000000" w:rsidP="00000000" w:rsidRDefault="00000000" w:rsidRPr="00000000" w14:paraId="0000008D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12%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E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6. haldussuutlikkus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F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63be7b" w:val="clear"/>
            <w:vAlign w:val="bottom"/>
          </w:tcPr>
          <w:p w:rsidR="00000000" w:rsidDel="00000000" w:rsidP="00000000" w:rsidRDefault="00000000" w:rsidRPr="00000000" w14:paraId="00000090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67%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1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9a9d" w:val="clear"/>
            <w:vAlign w:val="bottom"/>
          </w:tcPr>
          <w:p w:rsidR="00000000" w:rsidDel="00000000" w:rsidP="00000000" w:rsidRDefault="00000000" w:rsidRPr="00000000" w14:paraId="00000092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17%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3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7. ökonoomsus ja kuluefektiivsus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4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3e5ce" w:val="clear"/>
            <w:vAlign w:val="bottom"/>
          </w:tcPr>
          <w:p w:rsidR="00000000" w:rsidDel="00000000" w:rsidP="00000000" w:rsidRDefault="00000000" w:rsidRPr="00000000" w14:paraId="00000095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25%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6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696b" w:val="clear"/>
            <w:vAlign w:val="bottom"/>
          </w:tcPr>
          <w:p w:rsidR="00000000" w:rsidDel="00000000" w:rsidP="00000000" w:rsidRDefault="00000000" w:rsidRPr="00000000" w14:paraId="00000097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25%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8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8. regioonide arenguvõime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9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93d2a4" w:val="clear"/>
            <w:vAlign w:val="bottom"/>
          </w:tcPr>
          <w:p w:rsidR="00000000" w:rsidDel="00000000" w:rsidP="00000000" w:rsidRDefault="00000000" w:rsidRPr="00000000" w14:paraId="0000009A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46%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B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bcfd2" w:val="clear"/>
            <w:vAlign w:val="bottom"/>
          </w:tcPr>
          <w:p w:rsidR="00000000" w:rsidDel="00000000" w:rsidP="00000000" w:rsidRDefault="00000000" w:rsidRPr="00000000" w14:paraId="0000009C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8%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D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9. piirkondlik identiteet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E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9F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0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  <w:vAlign w:val="bottom"/>
          </w:tcPr>
          <w:p w:rsidR="00000000" w:rsidDel="00000000" w:rsidP="00000000" w:rsidRDefault="00000000" w:rsidRPr="00000000" w14:paraId="000000A1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</w:tr>
      <w:tr>
        <w:trPr>
          <w:trHeight w:val="240" w:hRule="atLeast"/>
        </w:trPr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A2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Kokku</w:t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A3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4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  <w:vAlign w:val="bottom"/>
          </w:tcPr>
          <w:p w:rsidR="00000000" w:rsidDel="00000000" w:rsidP="00000000" w:rsidRDefault="00000000" w:rsidRPr="00000000" w14:paraId="000000A5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6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7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  <w:font w:name="Courier New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"/>
      <w:lvlJc w:val="left"/>
      <w:pPr>
        <w:ind w:left="432" w:hanging="432"/>
      </w:pPr>
      <w:rPr/>
    </w:lvl>
    <w:lvl w:ilvl="1">
      <w:start w:val="1"/>
      <w:numFmt w:val="decimal"/>
      <w:lvlText w:val="%1.%2"/>
      <w:lvlJc w:val="left"/>
      <w:pPr>
        <w:ind w:left="576" w:hanging="576"/>
      </w:pPr>
      <w:rPr/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864" w:hanging="864"/>
      </w:pPr>
      <w:rPr/>
    </w:lvl>
    <w:lvl w:ilvl="4">
      <w:start w:val="1"/>
      <w:numFmt w:val="decimal"/>
      <w:lvlText w:val="%1.%2.%3.%4.%5"/>
      <w:lvlJc w:val="left"/>
      <w:pPr>
        <w:ind w:left="1008" w:hanging="1008"/>
      </w:pPr>
      <w:rPr/>
    </w:lvl>
    <w:lvl w:ilvl="5">
      <w:start w:val="1"/>
      <w:numFmt w:val="decimal"/>
      <w:lvlText w:val="%1.%2.%3.%4.%5.%6"/>
      <w:lvlJc w:val="left"/>
      <w:pPr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Jxxr4npOyGmshYjprfbDloVV9A==">AMUW2mUcD3VtIo7uG9DS4OqnibW98h2kkfW3PbDzzSYAnDFbRntS90hJNSIbj8Pyeb9OPFKg6/1vFAJW5SuhFN4CqghnMqUR3NM0sON8/Kb9rUBu08i1Rf4=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