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ind w:left="0" w:firstLine="0"/>
        <w:rPr>
          <w:rFonts w:ascii="Calibri" w:cs="Calibri" w:eastAsia="Calibri" w:hAnsi="Calibri"/>
          <w:b w:val="1"/>
          <w:color w:val="2e75b5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  <w:rtl w:val="0"/>
        </w:rPr>
        <w:t xml:space="preserve">4    Õiguslik vorm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hindamise koondtulemused</w:t>
      </w:r>
    </w:p>
    <w:tbl>
      <w:tblPr>
        <w:tblStyle w:val="Table1"/>
        <w:tblW w:w="8926.0" w:type="dxa"/>
        <w:jc w:val="left"/>
        <w:tblInd w:w="0.0" w:type="dxa"/>
        <w:tblLayout w:type="fixed"/>
        <w:tblLook w:val="0400"/>
      </w:tblPr>
      <w:tblGrid>
        <w:gridCol w:w="3964"/>
        <w:gridCol w:w="1701"/>
        <w:gridCol w:w="1701"/>
        <w:gridCol w:w="1560"/>
        <w:tblGridChange w:id="0">
          <w:tblGrid>
            <w:gridCol w:w="3964"/>
            <w:gridCol w:w="1701"/>
            <w:gridCol w:w="1701"/>
            <w:gridCol w:w="1560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Valikud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positiivne mõju (n=21)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negatiivne mõju (n=21)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Kindlasti mitte teostatav (n=21)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A.     Riigiasutuse regionaalne struktuuriüksus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43%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11%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B.     Regionaalne omavalitsuslik avalik-õiguslik juriidiline isik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57%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24%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44%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C.     KOV (valdkondlik) ühisvalitsus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39%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D.     KOV ühisamet ametiasutusena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43%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14%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11%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E.     KOV ühisasutus hallatava asutusena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33%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11%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F.      Ülesannete delegeerimine teisele KOV-üksusele ilma ühise otsustuskoguta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E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33%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F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28%</w:t>
            </w:r>
          </w:p>
        </w:tc>
      </w:tr>
      <w:tr>
        <w:trPr>
          <w:trHeight w:val="5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G.     Foorum-tüüpi koostöö, kus foorumi otsused tuleb kinnitada koostöös osalevate KOV volikogude poolt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22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52%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17%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H.     Maakondlik või piirkondlik omavalitsusliit KOLS mõttes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25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43%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14%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6%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I.       Eraõiguslik juriidiline isik (MTÜ, SA, OÜ jms)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14%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19%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2B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28%</w:t>
            </w:r>
          </w:p>
        </w:tc>
      </w:tr>
    </w:tbl>
    <w:p w:rsidR="00000000" w:rsidDel="00000000" w:rsidP="00000000" w:rsidRDefault="00000000" w:rsidRPr="00000000" w14:paraId="0000002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Täiendavalt esitatud lahendused: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Asümmeetriline detsentraliseerimine (lähedane valikule 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Avalik-õigusliku isikuna maakondlik või piirkondlik omavalitsusliit (lähedane valikutele B ja 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160"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Riiklik ja omavalitsuslik ühtne koostööregioon (lähedane A ja B sünteesile)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eksperthindamise alusel on eelistatud lahendusteks: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line="240" w:lineRule="auto"/>
        <w:ind w:left="108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Riigiasutuste regionaalse struktuuriüksus (positiivseim mõju haldussuutlikkusele ja halduse ökonoomsusele, teostatav);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line="240" w:lineRule="auto"/>
        <w:ind w:left="108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Regionaalne omavalitsuslik avalik-õiguslik juriidiline isik (positiivseim mõju otsustusvõimele ja haldussuutlikkusele, raskeimini teostatav);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line="240" w:lineRule="auto"/>
        <w:ind w:left="108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Maakondlik või piirkondlik omavalitsusliit KOLS mõttes (positiivseim mõju demokraatiale ja subsidiaarsusele, teostatav).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Võttes täiendavalt arvesse hindamistulemusi regionaalse tasandi koostööpartnerite osas – et kõige enam nähakse olulisi positiivseid mõjusid lahenduses, kus regionaalsel tasandil toimub riigi ja KOV koostöö – samuti seda, et ekspertide hinnangul on kõigi või enamuse valdkondade ülesannete täitmine  ühises regionaalse tasandi valitsemis- või koostööorganisatsioonis oluliste positiivsete mõjudega, siis on meie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esialgne kokkuvõttev järeldus hindamistulemustest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järgmine: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Riigi ja KOV ühiste ülesannete (nt regionaalne ruumiplaneerimine, ühistransport, kutse- ja gümnaasiumiharidus) täitmiseks regionaalsel tasandil (nn. suurregioonides) 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sobivaimaks (suurimate positiivsete mõjudega) õiguslikuks vormiks regionaalne avalik-õiguslik isik, mille otsustuskogusse kuuluvad nii riigi (sh erinevate valitsemisvaldkondade ministeeriumite) kui ka KOV esindajad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kuivõrd tegemist on seni Eesti valitsemissüsteemis uue lahendusega, siis tuleb arvestada takistustega lahenduse elluviimisel;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160"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OVL edasi arendatud mudel (nt osaluse kohustuslikkus) on sobilik KOV omavaheliseks koostööks maakondlikul tasandil.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numPr>
          <w:ilvl w:val="1"/>
          <w:numId w:val="4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olete nõus, et regionaalsel tasandil riigi ja KOV koostöös ühiste ülesannete täitmiseks on vajalik asjakohane uuenduslik organisatoorne vorm – regionaalne riigi ja KOV sektori ühine avalik-õiguslik isik? Miks?</w:t>
      </w:r>
    </w:p>
    <w:p w:rsidR="00000000" w:rsidDel="00000000" w:rsidP="00000000" w:rsidRDefault="00000000" w:rsidRPr="00000000" w14:paraId="0000003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numPr>
          <w:ilvl w:val="1"/>
          <w:numId w:val="4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ei, siis milline oleks sobivaim õiguslik vorm KOV ja riigi koostööks regionaalsel tasandil, ühiste ülesannete täitmiseks?</w:t>
      </w:r>
    </w:p>
    <w:p w:rsidR="00000000" w:rsidDel="00000000" w:rsidP="00000000" w:rsidRDefault="00000000" w:rsidRPr="00000000" w14:paraId="0000003E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Ka erasektori partnerite kaasamine regionaalse tasandi juhtimisse on hinnatud kui lahendus, mis omab positiivseid mõjusid regioonide arenguvõimele.</w:t>
      </w:r>
    </w:p>
    <w:p w:rsidR="00000000" w:rsidDel="00000000" w:rsidP="00000000" w:rsidRDefault="00000000" w:rsidRPr="00000000" w14:paraId="00000040">
      <w:pPr>
        <w:pStyle w:val="Heading2"/>
        <w:numPr>
          <w:ilvl w:val="1"/>
          <w:numId w:val="4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erasektori partnerite kaasamine regionaalse tasandi juhtimisse oleks vajalik ja mil määral? Miks? </w:t>
      </w:r>
    </w:p>
    <w:p w:rsidR="00000000" w:rsidDel="00000000" w:rsidP="00000000" w:rsidRDefault="00000000" w:rsidRPr="00000000" w14:paraId="00000041">
      <w:pPr>
        <w:pStyle w:val="Heading2"/>
        <w:numPr>
          <w:ilvl w:val="1"/>
          <w:numId w:val="4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ja, siis millistel tingimustel, millises õiguslikus vormis oleks sobivaim erasektori ja kodanikuühenduste kaasamiseks regionaalse tasandi juhtimisse?</w:t>
      </w:r>
    </w:p>
    <w:p w:rsidR="00000000" w:rsidDel="00000000" w:rsidP="00000000" w:rsidRDefault="00000000" w:rsidRPr="00000000" w14:paraId="0000004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LISA. Valikute mõjud regionaalhalduse erinevatele aspektidele</w:t>
      </w:r>
    </w:p>
    <w:tbl>
      <w:tblPr>
        <w:tblStyle w:val="Table2"/>
        <w:tblW w:w="7700.0" w:type="dxa"/>
        <w:jc w:val="left"/>
        <w:tblInd w:w="0.0" w:type="dxa"/>
        <w:tblLayout w:type="fixed"/>
        <w:tblLook w:val="0400"/>
      </w:tblPr>
      <w:tblGrid>
        <w:gridCol w:w="2780"/>
        <w:gridCol w:w="960"/>
        <w:gridCol w:w="1820"/>
        <w:gridCol w:w="960"/>
        <w:gridCol w:w="1180"/>
        <w:tblGridChange w:id="0">
          <w:tblGrid>
            <w:gridCol w:w="2780"/>
            <w:gridCol w:w="960"/>
            <w:gridCol w:w="1820"/>
            <w:gridCol w:w="960"/>
            <w:gridCol w:w="1180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A.     Riigiasutuse regionaalne struktuuriüksus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4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1d1a3" w:val="clear"/>
            <w:vAlign w:val="bottom"/>
          </w:tcPr>
          <w:p w:rsidR="00000000" w:rsidDel="00000000" w:rsidP="00000000" w:rsidRDefault="00000000" w:rsidRPr="00000000" w14:paraId="0000005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5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5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7c68c" w:val="clear"/>
            <w:vAlign w:val="bottom"/>
          </w:tcPr>
          <w:p w:rsidR="00000000" w:rsidDel="00000000" w:rsidP="00000000" w:rsidRDefault="00000000" w:rsidRPr="00000000" w14:paraId="0000005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5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60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62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B.     Regionaalne omavalitsuslik avalik-õiguslik isik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7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7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7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a4a7" w:val="clear"/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fd0a1" w:val="clear"/>
            <w:vAlign w:val="bottom"/>
          </w:tcPr>
          <w:p w:rsidR="00000000" w:rsidDel="00000000" w:rsidP="00000000" w:rsidRDefault="00000000" w:rsidRPr="00000000" w14:paraId="0000007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7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8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5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C.     KOV (valdkondlik) ühisvalitsus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9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1d1a3" w:val="clear"/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dfe2" w:val="clear"/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9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9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A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D.     KOV ühisamet ametiasutusena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7c68c" w:val="clear"/>
            <w:vAlign w:val="bottom"/>
          </w:tcPr>
          <w:p w:rsidR="00000000" w:rsidDel="00000000" w:rsidP="00000000" w:rsidRDefault="00000000" w:rsidRPr="00000000" w14:paraId="000000B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B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1d1a3" w:val="clear"/>
            <w:vAlign w:val="bottom"/>
          </w:tcPr>
          <w:p w:rsidR="00000000" w:rsidDel="00000000" w:rsidP="00000000" w:rsidRDefault="00000000" w:rsidRPr="00000000" w14:paraId="000000B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c2c4" w:val="clear"/>
            <w:vAlign w:val="bottom"/>
          </w:tcPr>
          <w:p w:rsidR="00000000" w:rsidDel="00000000" w:rsidP="00000000" w:rsidRDefault="00000000" w:rsidRPr="00000000" w14:paraId="000000B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C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C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C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C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CB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E.     KOV ühisasutus hallatava asutusena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3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D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D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D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1d7b0" w:val="clear"/>
            <w:vAlign w:val="bottom"/>
          </w:tcPr>
          <w:p w:rsidR="00000000" w:rsidDel="00000000" w:rsidP="00000000" w:rsidRDefault="00000000" w:rsidRPr="00000000" w14:paraId="000000D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98789" w:val="clear"/>
            <w:vAlign w:val="bottom"/>
          </w:tcPr>
          <w:p w:rsidR="00000000" w:rsidDel="00000000" w:rsidP="00000000" w:rsidRDefault="00000000" w:rsidRPr="00000000" w14:paraId="000000E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9c78e" w:val="clear"/>
            <w:vAlign w:val="bottom"/>
          </w:tcPr>
          <w:p w:rsidR="00000000" w:rsidDel="00000000" w:rsidP="00000000" w:rsidRDefault="00000000" w:rsidRPr="00000000" w14:paraId="000000E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E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E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E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EC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EE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F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F.      Ülesannete delegeerimine teisele KOV-üksusele ilma ühise otsustuskoguta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F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F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F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F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7f4ed" w:val="clear"/>
            <w:vAlign w:val="bottom"/>
          </w:tcPr>
          <w:p w:rsidR="00000000" w:rsidDel="00000000" w:rsidP="00000000" w:rsidRDefault="00000000" w:rsidRPr="00000000" w14:paraId="0000010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10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10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71%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0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0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0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0F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1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G.     Foorum-tüüpi koostöö, kus foorumi otsused tuleb kinnitada koostöös osalevate KOV volikogude poolt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1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1C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11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bfc2" w:val="clear"/>
            <w:vAlign w:val="bottom"/>
          </w:tcPr>
          <w:p w:rsidR="00000000" w:rsidDel="00000000" w:rsidP="00000000" w:rsidRDefault="00000000" w:rsidRPr="00000000" w14:paraId="0000012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ef0e5" w:val="clear"/>
            <w:vAlign w:val="bottom"/>
          </w:tcPr>
          <w:p w:rsidR="00000000" w:rsidDel="00000000" w:rsidP="00000000" w:rsidRDefault="00000000" w:rsidRPr="00000000" w14:paraId="0000012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12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2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2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43%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2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bfc2" w:val="clear"/>
            <w:vAlign w:val="bottom"/>
          </w:tcPr>
          <w:p w:rsidR="00000000" w:rsidDel="00000000" w:rsidP="00000000" w:rsidRDefault="00000000" w:rsidRPr="00000000" w14:paraId="0000013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1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2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4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H.     Maakondlik või piirkondlik omavalitsusliit KOLS mõttes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C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3D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3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3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14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4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fead8" w:val="clear"/>
            <w:vAlign w:val="bottom"/>
          </w:tcPr>
          <w:p w:rsidR="00000000" w:rsidDel="00000000" w:rsidP="00000000" w:rsidRDefault="00000000" w:rsidRPr="00000000" w14:paraId="0000014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14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5d9b4" w:val="clear"/>
            <w:vAlign w:val="bottom"/>
          </w:tcPr>
          <w:p w:rsidR="00000000" w:rsidDel="00000000" w:rsidP="00000000" w:rsidRDefault="00000000" w:rsidRPr="00000000" w14:paraId="0000014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9496" w:val="clear"/>
            <w:vAlign w:val="bottom"/>
          </w:tcPr>
          <w:p w:rsidR="00000000" w:rsidDel="00000000" w:rsidP="00000000" w:rsidRDefault="00000000" w:rsidRPr="00000000" w14:paraId="0000014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14%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5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5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4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5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7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I.       Eraõiguslik juriidiline isik (MTÜ, SA, OÜ jms)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60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61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16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6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6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16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c2c4" w:val="clear"/>
            <w:vAlign w:val="bottom"/>
          </w:tcPr>
          <w:p w:rsidR="00000000" w:rsidDel="00000000" w:rsidP="00000000" w:rsidRDefault="00000000" w:rsidRPr="00000000" w14:paraId="0000016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fd0a1" w:val="clear"/>
            <w:vAlign w:val="bottom"/>
          </w:tcPr>
          <w:p w:rsidR="00000000" w:rsidDel="00000000" w:rsidP="00000000" w:rsidRDefault="00000000" w:rsidRPr="00000000" w14:paraId="0000016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14%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d2d5" w:val="clear"/>
            <w:vAlign w:val="bottom"/>
          </w:tcPr>
          <w:p w:rsidR="00000000" w:rsidDel="00000000" w:rsidP="00000000" w:rsidRDefault="00000000" w:rsidRPr="00000000" w14:paraId="0000017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14%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17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17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7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7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17A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cXBcsLrsFtu4grKkm3Onpa3rnQ==">AMUW2mUe7Xl5Lfk3iVVSvLwVsxlAkrlkKUmuKATte0CBFUExGp2R3zYl8JQD9y58L6MSG+hucyFUBX2fRkyLgVtCwXb4VGTGeanFi9BVCPOq5S8EFjuTjmA=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